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12FB" w14:textId="77777777" w:rsidR="00B62DEA" w:rsidRDefault="002F3E25" w:rsidP="00B62DEA">
      <w:pPr>
        <w:pStyle w:val="DocumentTitle"/>
        <w:framePr w:w="10391" w:wrap="notBeside" w:x="1096" w:y="2099"/>
        <w:rPr>
          <w:rFonts w:ascii="Poppins" w:hAnsi="Poppins" w:cs="Poppins"/>
          <w:color w:val="auto"/>
        </w:rPr>
      </w:pPr>
      <w:r>
        <w:rPr>
          <w:rFonts w:ascii="Poppins" w:hAnsi="Poppins" w:cs="Poppins"/>
          <w:color w:val="auto"/>
        </w:rPr>
        <w:t>Connections Reform</w:t>
      </w:r>
    </w:p>
    <w:p w14:paraId="5580A862" w14:textId="5EDED3F4" w:rsidR="000E1DE7" w:rsidRPr="007619FB" w:rsidRDefault="00B62DEA" w:rsidP="00B62DEA">
      <w:pPr>
        <w:pStyle w:val="DocumentTitle"/>
        <w:framePr w:w="10391" w:wrap="notBeside" w:x="1096" w:y="2099"/>
        <w:rPr>
          <w:rFonts w:ascii="Poppins" w:hAnsi="Poppins" w:cs="Poppins"/>
          <w:color w:val="auto"/>
        </w:rPr>
      </w:pPr>
      <w:r>
        <w:rPr>
          <w:rFonts w:ascii="Poppins" w:hAnsi="Poppins" w:cs="Poppins"/>
          <w:color w:val="auto"/>
        </w:rPr>
        <w:t>Consultation</w:t>
      </w:r>
      <w:r w:rsidR="002F3E25">
        <w:rPr>
          <w:rFonts w:ascii="Poppins" w:hAnsi="Poppins" w:cs="Poppins"/>
          <w:color w:val="auto"/>
        </w:rPr>
        <w:t xml:space="preserve"> Response Proforma</w:t>
      </w:r>
    </w:p>
    <w:p w14:paraId="55F105EC" w14:textId="124011C7" w:rsidR="002F3E25" w:rsidRDefault="002F3E25" w:rsidP="000E1DE7">
      <w:pPr>
        <w:pStyle w:val="BodyText"/>
        <w:rPr>
          <w:rFonts w:cs="Poppins"/>
        </w:rPr>
      </w:pPr>
      <w:r>
        <w:rPr>
          <w:rFonts w:cs="Poppins"/>
        </w:rPr>
        <w:t xml:space="preserve">Your feedback is important to this process. Please take this opportunity to provide any feedback that you may have. To aid your response, each question is linked back to the </w:t>
      </w:r>
      <w:r w:rsidR="000F36E4">
        <w:rPr>
          <w:rFonts w:cs="Poppins"/>
        </w:rPr>
        <w:t xml:space="preserve">relevant </w:t>
      </w:r>
      <w:r>
        <w:rPr>
          <w:rFonts w:cs="Poppins"/>
        </w:rPr>
        <w:t xml:space="preserve">document for ease of reference. </w:t>
      </w:r>
    </w:p>
    <w:p w14:paraId="279E2937" w14:textId="3DC7DD80" w:rsidR="00E605CD" w:rsidRDefault="002F3E25" w:rsidP="000E1DE7">
      <w:pPr>
        <w:pStyle w:val="BodyText"/>
        <w:rPr>
          <w:rFonts w:cs="Poppins"/>
        </w:rPr>
      </w:pPr>
      <w:r>
        <w:rPr>
          <w:rFonts w:cs="Poppins"/>
        </w:rPr>
        <w:t>Please provide your feedback using this Pro</w:t>
      </w:r>
      <w:r w:rsidR="007B2520">
        <w:rPr>
          <w:rFonts w:cs="Poppins"/>
        </w:rPr>
        <w:t>f</w:t>
      </w:r>
      <w:r>
        <w:rPr>
          <w:rFonts w:cs="Poppins"/>
        </w:rPr>
        <w:t xml:space="preserve">orma and sending an electronic copy to </w:t>
      </w:r>
      <w:hyperlink r:id="rId11" w:history="1">
        <w:r w:rsidRPr="002F3E25">
          <w:rPr>
            <w:rStyle w:val="Hyperlink"/>
            <w:rFonts w:cs="Poppins"/>
            <w:b/>
            <w:bCs/>
          </w:rPr>
          <w:t>box.connectionsreform@nationalenergyso.com</w:t>
        </w:r>
      </w:hyperlink>
      <w:r>
        <w:rPr>
          <w:rFonts w:cs="Poppins"/>
        </w:rPr>
        <w:t xml:space="preserve"> by</w:t>
      </w:r>
      <w:r w:rsidR="009C470A">
        <w:rPr>
          <w:rFonts w:cs="Poppins"/>
        </w:rPr>
        <w:t xml:space="preserve"> </w:t>
      </w:r>
      <w:r w:rsidR="009C470A" w:rsidRPr="00E605CD">
        <w:rPr>
          <w:rFonts w:cs="Poppins"/>
          <w:b/>
          <w:bCs/>
        </w:rPr>
        <w:t>5pm</w:t>
      </w:r>
      <w:r w:rsidR="009C470A">
        <w:rPr>
          <w:rFonts w:cs="Poppins"/>
        </w:rPr>
        <w:t xml:space="preserve"> on</w:t>
      </w:r>
      <w:r>
        <w:rPr>
          <w:rFonts w:cs="Poppins"/>
        </w:rPr>
        <w:t xml:space="preserve"> the closing date of </w:t>
      </w:r>
      <w:r w:rsidRPr="00E605CD">
        <w:rPr>
          <w:rFonts w:cs="Poppins"/>
          <w:b/>
          <w:bCs/>
        </w:rPr>
        <w:t>2</w:t>
      </w:r>
      <w:r w:rsidRPr="00E605CD">
        <w:rPr>
          <w:rFonts w:cs="Poppins"/>
          <w:b/>
          <w:bCs/>
          <w:vertAlign w:val="superscript"/>
        </w:rPr>
        <w:t>nd</w:t>
      </w:r>
      <w:r w:rsidRPr="00E605CD">
        <w:rPr>
          <w:rFonts w:cs="Poppins"/>
          <w:b/>
          <w:bCs/>
        </w:rPr>
        <w:t xml:space="preserve"> December 2024</w:t>
      </w:r>
      <w:r>
        <w:rPr>
          <w:rFonts w:cs="Poppins"/>
        </w:rPr>
        <w:t xml:space="preserve">. </w:t>
      </w:r>
    </w:p>
    <w:p w14:paraId="2BB98A8A" w14:textId="0BB1307F" w:rsidR="002F3E25" w:rsidRDefault="002F3E25" w:rsidP="000E1DE7">
      <w:pPr>
        <w:pStyle w:val="BodyText"/>
        <w:rPr>
          <w:rFonts w:cs="Poppins"/>
        </w:rPr>
      </w:pPr>
      <w:r>
        <w:rPr>
          <w:rFonts w:cs="Poppins"/>
        </w:rPr>
        <w:t xml:space="preserve">We encourage early submission ahead of the deadline where possible to aid the processing of responses. </w:t>
      </w:r>
    </w:p>
    <w:tbl>
      <w:tblPr>
        <w:tblStyle w:val="GridTable1Light-Accent2"/>
        <w:tblW w:w="0" w:type="auto"/>
        <w:tblLook w:val="04A0" w:firstRow="1" w:lastRow="0" w:firstColumn="1" w:lastColumn="0" w:noHBand="0" w:noVBand="1"/>
      </w:tblPr>
      <w:tblGrid>
        <w:gridCol w:w="4871"/>
        <w:gridCol w:w="4871"/>
      </w:tblGrid>
      <w:tr w:rsidR="002F3E25" w14:paraId="261C3493" w14:textId="77777777" w:rsidTr="002F3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3F502D94" w14:textId="3A202880" w:rsidR="002F3E25" w:rsidRDefault="002F3E25" w:rsidP="000E1DE7">
            <w:pPr>
              <w:pStyle w:val="BodyText"/>
              <w:rPr>
                <w:rFonts w:cs="Poppins"/>
              </w:rPr>
            </w:pPr>
            <w:r>
              <w:rPr>
                <w:rFonts w:cs="Poppins"/>
              </w:rPr>
              <w:t>Respond</w:t>
            </w:r>
            <w:r w:rsidR="00D63EE2">
              <w:rPr>
                <w:rFonts w:cs="Poppins"/>
              </w:rPr>
              <w:t>e</w:t>
            </w:r>
            <w:r>
              <w:rPr>
                <w:rFonts w:cs="Poppins"/>
              </w:rPr>
              <w:t>nt Details</w:t>
            </w:r>
          </w:p>
        </w:tc>
        <w:tc>
          <w:tcPr>
            <w:tcW w:w="4871" w:type="dxa"/>
          </w:tcPr>
          <w:p w14:paraId="01F16E2C" w14:textId="77777777" w:rsidR="002F3E25" w:rsidRDefault="002F3E25" w:rsidP="000E1DE7">
            <w:pPr>
              <w:pStyle w:val="BodyText"/>
              <w:cnfStyle w:val="100000000000" w:firstRow="1" w:lastRow="0" w:firstColumn="0" w:lastColumn="0" w:oddVBand="0" w:evenVBand="0" w:oddHBand="0" w:evenHBand="0" w:firstRowFirstColumn="0" w:firstRowLastColumn="0" w:lastRowFirstColumn="0" w:lastRowLastColumn="0"/>
              <w:rPr>
                <w:rFonts w:cs="Poppins"/>
              </w:rPr>
            </w:pPr>
          </w:p>
        </w:tc>
      </w:tr>
      <w:tr w:rsidR="002F3E25" w14:paraId="704D4853"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2319B3CA" w14:textId="38867214" w:rsidR="002F3E25" w:rsidRDefault="009C470A" w:rsidP="000E1DE7">
            <w:pPr>
              <w:pStyle w:val="BodyText"/>
              <w:rPr>
                <w:rFonts w:cs="Poppins"/>
              </w:rPr>
            </w:pPr>
            <w:r>
              <w:rPr>
                <w:rFonts w:cs="Poppins"/>
              </w:rPr>
              <w:t>Name</w:t>
            </w:r>
          </w:p>
        </w:tc>
        <w:tc>
          <w:tcPr>
            <w:tcW w:w="4871" w:type="dxa"/>
          </w:tcPr>
          <w:p w14:paraId="2C130255" w14:textId="31C87373" w:rsidR="002F3E25" w:rsidRDefault="00BC1D76"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r>
              <w:rPr>
                <w:rFonts w:cs="Poppins"/>
              </w:rPr>
              <w:t>Anthony Cotton</w:t>
            </w:r>
          </w:p>
        </w:tc>
      </w:tr>
      <w:tr w:rsidR="002F3E25" w14:paraId="250A383A"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5FDC8300" w14:textId="2181FFD4" w:rsidR="002F3E25" w:rsidRDefault="009C470A" w:rsidP="000E1DE7">
            <w:pPr>
              <w:pStyle w:val="BodyText"/>
              <w:rPr>
                <w:rFonts w:cs="Poppins"/>
              </w:rPr>
            </w:pPr>
            <w:r>
              <w:rPr>
                <w:rFonts w:cs="Poppins"/>
              </w:rPr>
              <w:t>Organisation</w:t>
            </w:r>
          </w:p>
        </w:tc>
        <w:tc>
          <w:tcPr>
            <w:tcW w:w="4871" w:type="dxa"/>
          </w:tcPr>
          <w:p w14:paraId="299A71BD" w14:textId="505639E6" w:rsidR="002F3E25" w:rsidRDefault="00622D9D"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r w:rsidRPr="00622D9D">
              <w:rPr>
                <w:rFonts w:cs="Poppins"/>
              </w:rPr>
              <w:t>Energy Technical &amp; Renewable Services Ltd</w:t>
            </w:r>
          </w:p>
        </w:tc>
      </w:tr>
      <w:tr w:rsidR="002F3E25" w14:paraId="38BB07A7"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141BD760" w14:textId="4FC16796" w:rsidR="002F3E25" w:rsidRDefault="009C470A" w:rsidP="000E1DE7">
            <w:pPr>
              <w:pStyle w:val="BodyText"/>
              <w:rPr>
                <w:rFonts w:cs="Poppins"/>
              </w:rPr>
            </w:pPr>
            <w:r>
              <w:rPr>
                <w:rFonts w:cs="Poppins"/>
              </w:rPr>
              <w:t>Email Address</w:t>
            </w:r>
          </w:p>
        </w:tc>
        <w:tc>
          <w:tcPr>
            <w:tcW w:w="4871" w:type="dxa"/>
          </w:tcPr>
          <w:p w14:paraId="0B222A3C" w14:textId="55CD4F5C" w:rsidR="002F3E25" w:rsidRDefault="00622D9D"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r w:rsidRPr="00622D9D">
              <w:rPr>
                <w:rFonts w:cs="Poppins"/>
              </w:rPr>
              <w:t>tony@energytechnical.com</w:t>
            </w:r>
          </w:p>
        </w:tc>
      </w:tr>
      <w:tr w:rsidR="002F3E25" w14:paraId="4BA9E332"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7A2172EC" w14:textId="7388130F" w:rsidR="002F3E25" w:rsidRDefault="009C470A" w:rsidP="000E1DE7">
            <w:pPr>
              <w:pStyle w:val="BodyText"/>
              <w:rPr>
                <w:rFonts w:cs="Poppins"/>
              </w:rPr>
            </w:pPr>
            <w:r>
              <w:rPr>
                <w:rFonts w:cs="Poppins"/>
              </w:rPr>
              <w:t>Phone Number</w:t>
            </w:r>
          </w:p>
        </w:tc>
        <w:tc>
          <w:tcPr>
            <w:tcW w:w="4871" w:type="dxa"/>
          </w:tcPr>
          <w:p w14:paraId="7042BF18" w14:textId="114FA0F2" w:rsidR="002F3E25" w:rsidRDefault="00622D9D"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r w:rsidRPr="00622D9D">
              <w:rPr>
                <w:rFonts w:cs="Poppins"/>
              </w:rPr>
              <w:t>07774 102942</w:t>
            </w:r>
          </w:p>
        </w:tc>
      </w:tr>
      <w:tr w:rsidR="002F3E25" w14:paraId="7EBA8E2F"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4F7DC928" w14:textId="26C4DD2F" w:rsidR="002F3E25" w:rsidRDefault="009C470A" w:rsidP="000E1DE7">
            <w:pPr>
              <w:pStyle w:val="BodyText"/>
              <w:rPr>
                <w:rFonts w:cs="Poppins"/>
              </w:rPr>
            </w:pPr>
            <w:r>
              <w:rPr>
                <w:rFonts w:cs="Poppins"/>
              </w:rPr>
              <w:t xml:space="preserve">Which </w:t>
            </w:r>
            <w:r w:rsidR="0042713A">
              <w:rPr>
                <w:rFonts w:cs="Poppins"/>
              </w:rPr>
              <w:t>c</w:t>
            </w:r>
            <w:r>
              <w:rPr>
                <w:rFonts w:cs="Poppins"/>
              </w:rPr>
              <w:t xml:space="preserve">ategory </w:t>
            </w:r>
            <w:r w:rsidR="0042713A">
              <w:rPr>
                <w:rFonts w:cs="Poppins"/>
              </w:rPr>
              <w:t>b</w:t>
            </w:r>
            <w:r>
              <w:rPr>
                <w:rFonts w:cs="Poppins"/>
              </w:rPr>
              <w:t xml:space="preserve">est </w:t>
            </w:r>
            <w:r w:rsidR="0042713A">
              <w:rPr>
                <w:rFonts w:cs="Poppins"/>
              </w:rPr>
              <w:t>d</w:t>
            </w:r>
            <w:r>
              <w:rPr>
                <w:rFonts w:cs="Poppins"/>
              </w:rPr>
              <w:t xml:space="preserve">escribes your </w:t>
            </w:r>
            <w:r w:rsidR="0042713A">
              <w:rPr>
                <w:rFonts w:cs="Poppins"/>
              </w:rPr>
              <w:t>o</w:t>
            </w:r>
            <w:r>
              <w:rPr>
                <w:rFonts w:cs="Poppins"/>
              </w:rPr>
              <w:t>rganisation?</w:t>
            </w:r>
          </w:p>
        </w:tc>
        <w:tc>
          <w:tcPr>
            <w:tcW w:w="4871" w:type="dxa"/>
          </w:tcPr>
          <w:p w14:paraId="0A1CC42A"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sidRPr="009329E0">
              <w:rPr>
                <w:rFonts w:cstheme="minorHAnsi"/>
              </w:rPr>
              <w:t>Con</w:t>
            </w:r>
            <w:r w:rsidR="009C470A">
              <w:rPr>
                <w:rFonts w:cstheme="minorHAnsi"/>
              </w:rPr>
              <w:t>sumer body</w:t>
            </w:r>
          </w:p>
          <w:p w14:paraId="0C9E3AC1"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Demand</w:t>
            </w:r>
          </w:p>
          <w:p w14:paraId="2D40BA22"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Distribution Network Operator</w:t>
            </w:r>
          </w:p>
          <w:p w14:paraId="273170C9"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Generator</w:t>
            </w:r>
          </w:p>
          <w:p w14:paraId="2EC09EF8"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Industry body</w:t>
            </w:r>
          </w:p>
          <w:p w14:paraId="2321D321" w14:textId="77777777" w:rsidR="002F3E25" w:rsidRDefault="00BF1961" w:rsidP="00B745CC">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sdt>
              <w:sdtPr>
                <w:rPr>
                  <w:rFonts w:asciiTheme="minorHAnsi" w:hAnsiTheme="minorHAnsi" w:cstheme="minorHAnsi"/>
                </w:rPr>
                <w:id w:val="123497773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asciiTheme="minorHAnsi" w:hAnsiTheme="minorHAnsi" w:cstheme="minorHAnsi"/>
              </w:rPr>
              <w:t>Interconnector</w:t>
            </w:r>
          </w:p>
          <w:p w14:paraId="7E9F038F"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Storage</w:t>
            </w:r>
          </w:p>
          <w:p w14:paraId="355886CD"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Supplier</w:t>
            </w:r>
          </w:p>
          <w:p w14:paraId="20383812"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System Operator</w:t>
            </w:r>
          </w:p>
          <w:p w14:paraId="27CBDCF6"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Transmission Owner</w:t>
            </w:r>
          </w:p>
          <w:p w14:paraId="52E89BB6" w14:textId="77777777" w:rsidR="009C470A" w:rsidRDefault="00BF1961" w:rsidP="00B745CC">
            <w:pPr>
              <w:spacing w:after="0"/>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Virtual Lead Party</w:t>
            </w:r>
          </w:p>
          <w:p w14:paraId="279AF520" w14:textId="048422DA" w:rsidR="009C470A" w:rsidRDefault="00BF1961" w:rsidP="00B745CC">
            <w:pPr>
              <w:pStyle w:val="BodyText"/>
              <w:cnfStyle w:val="000000000000" w:firstRow="0" w:lastRow="0" w:firstColumn="0" w:lastColumn="0" w:oddVBand="0" w:evenVBand="0" w:oddHBand="0" w:evenHBand="0" w:firstRowFirstColumn="0" w:firstRowLastColumn="0" w:lastRowFirstColumn="0" w:lastRowLastColumn="0"/>
              <w:rPr>
                <w:rFonts w:cs="Poppins"/>
              </w:rPr>
            </w:pPr>
            <w:sdt>
              <w:sdtPr>
                <w:rPr>
                  <w:rFonts w:asciiTheme="minorHAnsi" w:hAnsiTheme="minorHAnsi" w:cstheme="minorHAnsi"/>
                </w:rPr>
                <w:id w:val="1221096329"/>
                <w14:checkbox>
                  <w14:checked w14:val="1"/>
                  <w14:checkedState w14:val="2612" w14:font="MS Gothic"/>
                  <w14:uncheckedState w14:val="2610" w14:font="MS Gothic"/>
                </w14:checkbox>
              </w:sdtPr>
              <w:sdtEndPr/>
              <w:sdtContent>
                <w:r w:rsidR="00622D9D">
                  <w:rPr>
                    <w:rFonts w:ascii="MS Gothic" w:eastAsia="MS Gothic" w:hAnsi="MS Gothic" w:cstheme="minorHAnsi" w:hint="eastAsia"/>
                  </w:rPr>
                  <w:t>☒</w:t>
                </w:r>
              </w:sdtContent>
            </w:sdt>
            <w:r w:rsidR="009C470A" w:rsidRPr="00C37B4B">
              <w:rPr>
                <w:rFonts w:asciiTheme="minorHAnsi" w:hAnsiTheme="minorHAnsi" w:cstheme="minorHAnsi"/>
                <w:sz w:val="22"/>
                <w:szCs w:val="22"/>
              </w:rPr>
              <w:t>Other</w:t>
            </w:r>
          </w:p>
        </w:tc>
      </w:tr>
      <w:tr w:rsidR="009C470A" w14:paraId="7091ECFB"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7290DE5B" w14:textId="1AFD6354" w:rsidR="009C470A" w:rsidRDefault="009C470A" w:rsidP="000E1DE7">
            <w:pPr>
              <w:pStyle w:val="BodyText"/>
              <w:rPr>
                <w:rFonts w:cs="Poppins"/>
              </w:rPr>
            </w:pPr>
            <w:r>
              <w:rPr>
                <w:rFonts w:cs="Poppins"/>
              </w:rPr>
              <w:t xml:space="preserve">Is this </w:t>
            </w:r>
            <w:r w:rsidR="0042713A">
              <w:rPr>
                <w:rFonts w:cs="Poppins"/>
              </w:rPr>
              <w:t>r</w:t>
            </w:r>
            <w:r>
              <w:rPr>
                <w:rFonts w:cs="Poppins"/>
              </w:rPr>
              <w:t xml:space="preserve">esponse </w:t>
            </w:r>
            <w:r w:rsidR="0042713A">
              <w:rPr>
                <w:rFonts w:cs="Poppins"/>
              </w:rPr>
              <w:t>c</w:t>
            </w:r>
            <w:r>
              <w:rPr>
                <w:rFonts w:cs="Poppins"/>
              </w:rPr>
              <w:t>onfidential?</w:t>
            </w:r>
          </w:p>
        </w:tc>
        <w:tc>
          <w:tcPr>
            <w:tcW w:w="4871" w:type="dxa"/>
          </w:tcPr>
          <w:p w14:paraId="4DE37352" w14:textId="38760F55" w:rsidR="009C470A" w:rsidRDefault="00BF1961"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007278931"/>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6A5985">
              <w:rPr>
                <w:rFonts w:cstheme="minorHAnsi"/>
              </w:rPr>
              <w:t xml:space="preserve"> </w:t>
            </w:r>
            <w:r w:rsidR="009C470A">
              <w:rPr>
                <w:rFonts w:cstheme="minorHAnsi"/>
              </w:rPr>
              <w:t xml:space="preserve">Yes – I do not wish for this response to be shared </w:t>
            </w:r>
            <w:r w:rsidR="009E6D7C">
              <w:rPr>
                <w:rFonts w:cstheme="minorHAnsi"/>
              </w:rPr>
              <w:t>publicly;</w:t>
            </w:r>
            <w:r w:rsidR="006A5985">
              <w:rPr>
                <w:rFonts w:cstheme="minorHAnsi"/>
              </w:rPr>
              <w:t xml:space="preserve"> </w:t>
            </w:r>
            <w:proofErr w:type="gramStart"/>
            <w:r w:rsidR="006A5985">
              <w:rPr>
                <w:rFonts w:cstheme="minorHAnsi"/>
              </w:rPr>
              <w:t>however</w:t>
            </w:r>
            <w:proofErr w:type="gramEnd"/>
            <w:r w:rsidR="006A5985">
              <w:rPr>
                <w:rFonts w:cstheme="minorHAnsi"/>
              </w:rPr>
              <w:t xml:space="preserve"> I </w:t>
            </w:r>
            <w:r w:rsidR="009C470A">
              <w:rPr>
                <w:rFonts w:cstheme="minorHAnsi"/>
              </w:rPr>
              <w:t xml:space="preserve">understand it </w:t>
            </w:r>
            <w:r w:rsidR="00DC63B4">
              <w:rPr>
                <w:rFonts w:cstheme="minorHAnsi"/>
              </w:rPr>
              <w:t>will be shared with Ofgem</w:t>
            </w:r>
          </w:p>
          <w:p w14:paraId="3AAF425E" w14:textId="21E8AE5A" w:rsidR="009C470A" w:rsidRDefault="00BF1961"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068313942"/>
                <w14:checkbox>
                  <w14:checked w14:val="1"/>
                  <w14:checkedState w14:val="2612" w14:font="MS Gothic"/>
                  <w14:uncheckedState w14:val="2610" w14:font="MS Gothic"/>
                </w14:checkbox>
              </w:sdtPr>
              <w:sdtEndPr/>
              <w:sdtContent>
                <w:r w:rsidR="00C41A0D">
                  <w:rPr>
                    <w:rFonts w:ascii="MS Gothic" w:eastAsia="MS Gothic" w:hAnsi="MS Gothic" w:cstheme="minorHAnsi" w:hint="eastAsia"/>
                  </w:rPr>
                  <w:t>☒</w:t>
                </w:r>
              </w:sdtContent>
            </w:sdt>
            <w:r w:rsidR="006A5985">
              <w:rPr>
                <w:rFonts w:cstheme="minorHAnsi"/>
              </w:rPr>
              <w:t xml:space="preserve"> </w:t>
            </w:r>
            <w:r w:rsidR="009C470A">
              <w:rPr>
                <w:rFonts w:cstheme="minorHAnsi"/>
              </w:rPr>
              <w:t>No – I am happy for my response to be available publicly</w:t>
            </w:r>
          </w:p>
        </w:tc>
      </w:tr>
    </w:tbl>
    <w:p w14:paraId="02C58D38" w14:textId="77777777" w:rsidR="00B745CC" w:rsidRDefault="00B745CC" w:rsidP="000E1DE7">
      <w:pPr>
        <w:pStyle w:val="BodyText"/>
        <w:rPr>
          <w:rFonts w:cs="Poppins"/>
          <w:b/>
          <w:bCs/>
        </w:rPr>
      </w:pPr>
    </w:p>
    <w:p w14:paraId="4B57C6C4" w14:textId="77777777" w:rsidR="00B745CC" w:rsidRDefault="00B745CC">
      <w:pPr>
        <w:spacing w:after="120" w:line="240" w:lineRule="auto"/>
        <w:rPr>
          <w:rFonts w:ascii="Poppins" w:hAnsi="Poppins" w:cs="Poppins"/>
          <w:b/>
          <w:bCs/>
          <w:color w:val="000000" w:themeColor="text1"/>
          <w:kern w:val="0"/>
          <w:sz w:val="20"/>
          <w:szCs w:val="20"/>
          <w14:ligatures w14:val="none"/>
        </w:rPr>
      </w:pPr>
      <w:r>
        <w:rPr>
          <w:rFonts w:cs="Poppins"/>
          <w:b/>
          <w:bCs/>
        </w:rPr>
        <w:br w:type="page"/>
      </w:r>
    </w:p>
    <w:p w14:paraId="15765E11" w14:textId="6FC74966" w:rsidR="009C470A" w:rsidRDefault="009C470A" w:rsidP="000E1DE7">
      <w:pPr>
        <w:pStyle w:val="BodyText"/>
        <w:rPr>
          <w:rFonts w:cs="Poppins"/>
          <w:b/>
          <w:bCs/>
        </w:rPr>
      </w:pPr>
      <w:r>
        <w:rPr>
          <w:rFonts w:cs="Poppins"/>
          <w:b/>
          <w:bCs/>
        </w:rPr>
        <w:lastRenderedPageBreak/>
        <w:t>Section 1 – Policy</w:t>
      </w:r>
    </w:p>
    <w:p w14:paraId="63207C52" w14:textId="77777777" w:rsidR="00F87BEC" w:rsidRDefault="00F87BEC" w:rsidP="00F87BEC">
      <w:pPr>
        <w:pStyle w:val="BodyText"/>
        <w:rPr>
          <w:rFonts w:cs="Poppins"/>
          <w:b/>
          <w:bCs/>
        </w:rPr>
      </w:pPr>
      <w:r>
        <w:rPr>
          <w:rFonts w:cs="Poppins"/>
        </w:rPr>
        <w:t xml:space="preserve">You can find the relevant information in the </w:t>
      </w:r>
      <w:r w:rsidRPr="00406CA9">
        <w:rPr>
          <w:rFonts w:cs="Poppins"/>
          <w:b/>
          <w:bCs/>
        </w:rPr>
        <w:t>Great Britain's Connections Reform: Overview Document</w:t>
      </w:r>
    </w:p>
    <w:tbl>
      <w:tblPr>
        <w:tblStyle w:val="TableGrid"/>
        <w:tblW w:w="0" w:type="auto"/>
        <w:tblLook w:val="04A0" w:firstRow="1" w:lastRow="0" w:firstColumn="1" w:lastColumn="0" w:noHBand="0" w:noVBand="1"/>
      </w:tblPr>
      <w:tblGrid>
        <w:gridCol w:w="9742"/>
      </w:tblGrid>
      <w:tr w:rsidR="00406CA9" w14:paraId="565C5EF8" w14:textId="77777777" w:rsidTr="00406CA9">
        <w:tc>
          <w:tcPr>
            <w:tcW w:w="9742" w:type="dxa"/>
          </w:tcPr>
          <w:p w14:paraId="27B498F3" w14:textId="1A0C3022" w:rsidR="00406CA9" w:rsidRPr="00406CA9" w:rsidRDefault="00406CA9" w:rsidP="00406CA9">
            <w:pPr>
              <w:pStyle w:val="BodyText"/>
              <w:numPr>
                <w:ilvl w:val="0"/>
                <w:numId w:val="21"/>
              </w:numPr>
              <w:rPr>
                <w:rFonts w:cs="Poppins"/>
              </w:rPr>
            </w:pPr>
            <w:r w:rsidRPr="00406CA9">
              <w:rPr>
                <w:rFonts w:cs="Poppins"/>
              </w:rPr>
              <w:t xml:space="preserve">Do you agree with our intention to align the connections process to Government’s Clean Power 2030 Action Plan? </w:t>
            </w:r>
          </w:p>
        </w:tc>
      </w:tr>
      <w:tr w:rsidR="00406CA9" w14:paraId="5E0430BF" w14:textId="77777777" w:rsidTr="00406CA9">
        <w:tc>
          <w:tcPr>
            <w:tcW w:w="9742" w:type="dxa"/>
          </w:tcPr>
          <w:p w14:paraId="56E9AFA5" w14:textId="2472DED0" w:rsidR="00406CA9" w:rsidRPr="00406CA9" w:rsidRDefault="00406CA9" w:rsidP="00406CA9">
            <w:pPr>
              <w:pStyle w:val="BodyText"/>
              <w:rPr>
                <w:rFonts w:cs="Poppins"/>
              </w:rPr>
            </w:pPr>
            <w:r>
              <w:rPr>
                <w:rFonts w:cs="Poppins"/>
              </w:rPr>
              <w:t xml:space="preserve">You can find the relevant information </w:t>
            </w:r>
            <w:r w:rsidR="00F87BEC">
              <w:rPr>
                <w:rFonts w:cs="Poppins"/>
              </w:rPr>
              <w:t>in</w:t>
            </w:r>
            <w:r>
              <w:rPr>
                <w:rFonts w:cs="Poppins"/>
              </w:rPr>
              <w:t xml:space="preserve"> </w:t>
            </w:r>
            <w:r w:rsidRPr="00F87BEC">
              <w:rPr>
                <w:rFonts w:cs="Poppins"/>
                <w:b/>
                <w:bCs/>
              </w:rPr>
              <w:t>Section 2 - Context</w:t>
            </w:r>
            <w:r>
              <w:rPr>
                <w:rFonts w:cs="Poppins"/>
              </w:rPr>
              <w:t xml:space="preserve"> </w:t>
            </w:r>
          </w:p>
        </w:tc>
      </w:tr>
      <w:tr w:rsidR="00406CA9" w14:paraId="76A39D0D" w14:textId="77777777" w:rsidTr="00406CA9">
        <w:tc>
          <w:tcPr>
            <w:tcW w:w="9742" w:type="dxa"/>
          </w:tcPr>
          <w:p w14:paraId="283AE659" w14:textId="6452B6B9" w:rsidR="00406CA9" w:rsidRPr="00406CA9" w:rsidRDefault="00322C78" w:rsidP="00406CA9">
            <w:pPr>
              <w:pStyle w:val="BodyText"/>
              <w:rPr>
                <w:rFonts w:cs="Poppins"/>
                <w:i/>
                <w:iCs/>
              </w:rPr>
            </w:pPr>
            <w:r>
              <w:rPr>
                <w:rFonts w:cs="Poppins"/>
                <w:i/>
                <w:iCs/>
              </w:rPr>
              <w:t>Y</w:t>
            </w:r>
            <w:r w:rsidR="0034527F">
              <w:rPr>
                <w:rFonts w:cs="Poppins"/>
                <w:i/>
                <w:iCs/>
              </w:rPr>
              <w:t>es</w:t>
            </w:r>
          </w:p>
        </w:tc>
      </w:tr>
    </w:tbl>
    <w:p w14:paraId="47391070" w14:textId="77777777" w:rsidR="009C470A" w:rsidRDefault="009C470A" w:rsidP="000E1DE7">
      <w:pPr>
        <w:pStyle w:val="BodyText"/>
        <w:rPr>
          <w:rFonts w:cs="Poppins"/>
        </w:rPr>
      </w:pPr>
    </w:p>
    <w:tbl>
      <w:tblPr>
        <w:tblStyle w:val="TableGrid"/>
        <w:tblW w:w="0" w:type="auto"/>
        <w:tblLook w:val="04A0" w:firstRow="1" w:lastRow="0" w:firstColumn="1" w:lastColumn="0" w:noHBand="0" w:noVBand="1"/>
      </w:tblPr>
      <w:tblGrid>
        <w:gridCol w:w="9742"/>
      </w:tblGrid>
      <w:tr w:rsidR="00406CA9" w:rsidRPr="00406CA9" w14:paraId="066ADF90" w14:textId="77777777">
        <w:tc>
          <w:tcPr>
            <w:tcW w:w="9742" w:type="dxa"/>
          </w:tcPr>
          <w:p w14:paraId="25C15F1F" w14:textId="13DDD0A2" w:rsidR="00406CA9" w:rsidRPr="00406CA9" w:rsidRDefault="00406CA9" w:rsidP="00406CA9">
            <w:pPr>
              <w:pStyle w:val="BodyText"/>
              <w:numPr>
                <w:ilvl w:val="0"/>
                <w:numId w:val="21"/>
              </w:numPr>
              <w:rPr>
                <w:rFonts w:cs="Poppins"/>
              </w:rPr>
            </w:pPr>
            <w:r w:rsidRPr="00406CA9">
              <w:rPr>
                <w:rFonts w:cs="Poppins"/>
              </w:rPr>
              <w:t xml:space="preserve">Do you agree with our proposal for overall design 2 (that the reformed connections queue should be limited to and prioritised to only include ready projects that align with Government’s Clean Power 2030 Action Plan, NESO Designated Projects, and directly connected demand projects outside the scope of Government Clean Power 2030 Action Plan)? </w:t>
            </w:r>
          </w:p>
        </w:tc>
      </w:tr>
      <w:tr w:rsidR="00406CA9" w:rsidRPr="00406CA9" w14:paraId="5EFFB5B1" w14:textId="77777777">
        <w:tc>
          <w:tcPr>
            <w:tcW w:w="9742" w:type="dxa"/>
          </w:tcPr>
          <w:p w14:paraId="4D0F4CBC" w14:textId="3855E6C9" w:rsidR="00406CA9" w:rsidRPr="00406CA9" w:rsidRDefault="00406CA9">
            <w:pPr>
              <w:pStyle w:val="BodyText"/>
              <w:rPr>
                <w:rFonts w:cs="Poppins"/>
              </w:rPr>
            </w:pPr>
            <w:r>
              <w:rPr>
                <w:rFonts w:cs="Poppins"/>
              </w:rPr>
              <w:t xml:space="preserve">You can find the relevant information </w:t>
            </w:r>
            <w:r w:rsidR="00F87BEC">
              <w:rPr>
                <w:rFonts w:cs="Poppins"/>
              </w:rPr>
              <w:t>in</w:t>
            </w:r>
            <w:r>
              <w:rPr>
                <w:rFonts w:cs="Poppins"/>
              </w:rPr>
              <w:t xml:space="preserve"> </w:t>
            </w:r>
            <w:r w:rsidRPr="00406CA9">
              <w:rPr>
                <w:rFonts w:cs="Poppins"/>
                <w:b/>
                <w:bCs/>
              </w:rPr>
              <w:t xml:space="preserve">Section 5 - Our overall preferred connections reform design </w:t>
            </w:r>
          </w:p>
        </w:tc>
      </w:tr>
      <w:tr w:rsidR="00406CA9" w:rsidRPr="00406CA9" w14:paraId="3C25A6D1" w14:textId="77777777">
        <w:tc>
          <w:tcPr>
            <w:tcW w:w="9742" w:type="dxa"/>
          </w:tcPr>
          <w:p w14:paraId="12EA28A3" w14:textId="52E8B174" w:rsidR="00406CA9" w:rsidRPr="00406CA9" w:rsidRDefault="00322C78">
            <w:pPr>
              <w:pStyle w:val="BodyText"/>
              <w:rPr>
                <w:rFonts w:cs="Poppins"/>
                <w:i/>
                <w:iCs/>
              </w:rPr>
            </w:pPr>
            <w:r>
              <w:rPr>
                <w:rFonts w:cs="Poppins"/>
                <w:i/>
                <w:iCs/>
              </w:rPr>
              <w:t>Y</w:t>
            </w:r>
            <w:r w:rsidR="0034527F">
              <w:rPr>
                <w:rFonts w:cs="Poppins"/>
                <w:i/>
                <w:iCs/>
              </w:rPr>
              <w:t>es</w:t>
            </w:r>
          </w:p>
        </w:tc>
      </w:tr>
    </w:tbl>
    <w:p w14:paraId="386F6D50" w14:textId="77777777" w:rsidR="00406CA9" w:rsidRDefault="00406CA9" w:rsidP="000E1DE7">
      <w:pPr>
        <w:pStyle w:val="BodyText"/>
        <w:rPr>
          <w:rFonts w:cs="Poppins"/>
        </w:rPr>
      </w:pPr>
    </w:p>
    <w:tbl>
      <w:tblPr>
        <w:tblStyle w:val="TableGrid"/>
        <w:tblW w:w="0" w:type="auto"/>
        <w:tblLook w:val="04A0" w:firstRow="1" w:lastRow="0" w:firstColumn="1" w:lastColumn="0" w:noHBand="0" w:noVBand="1"/>
      </w:tblPr>
      <w:tblGrid>
        <w:gridCol w:w="9742"/>
      </w:tblGrid>
      <w:tr w:rsidR="00406CA9" w:rsidRPr="00406CA9" w14:paraId="7894BE8F" w14:textId="77777777">
        <w:tc>
          <w:tcPr>
            <w:tcW w:w="9742" w:type="dxa"/>
          </w:tcPr>
          <w:p w14:paraId="0D25A76D" w14:textId="0953B3A5" w:rsidR="00406CA9" w:rsidRPr="00E605CD" w:rsidRDefault="00E605CD" w:rsidP="00E605CD">
            <w:pPr>
              <w:pStyle w:val="BodyText"/>
              <w:numPr>
                <w:ilvl w:val="0"/>
                <w:numId w:val="21"/>
              </w:numPr>
              <w:rPr>
                <w:rFonts w:cs="Poppins"/>
              </w:rPr>
            </w:pPr>
            <w:r w:rsidRPr="00E605CD">
              <w:rPr>
                <w:rFonts w:cs="Poppins"/>
              </w:rPr>
              <w:t xml:space="preserve">Do you think </w:t>
            </w:r>
            <w:proofErr w:type="gramStart"/>
            <w:r w:rsidRPr="00E605CD">
              <w:rPr>
                <w:rFonts w:cs="Poppins"/>
              </w:rPr>
              <w:t>all ‘ready’</w:t>
            </w:r>
            <w:proofErr w:type="gramEnd"/>
            <w:r w:rsidRPr="00E605CD">
              <w:rPr>
                <w:rFonts w:cs="Poppins"/>
              </w:rPr>
              <w:t xml:space="preserve"> projects should be included in the reformed connections queue (overall design 3)? If so, how would you propose that we mitigate risks to consumers or developers of material misalignment to the SSEP?</w:t>
            </w:r>
          </w:p>
        </w:tc>
      </w:tr>
      <w:tr w:rsidR="00406CA9" w:rsidRPr="00406CA9" w14:paraId="5336DFA2" w14:textId="77777777">
        <w:tc>
          <w:tcPr>
            <w:tcW w:w="9742" w:type="dxa"/>
          </w:tcPr>
          <w:p w14:paraId="7D5F7C77" w14:textId="22BFBD8C" w:rsidR="00406CA9" w:rsidRPr="00406CA9" w:rsidRDefault="00406CA9">
            <w:pPr>
              <w:pStyle w:val="BodyText"/>
              <w:rPr>
                <w:rFonts w:cs="Poppins"/>
              </w:rPr>
            </w:pPr>
            <w:r>
              <w:rPr>
                <w:rFonts w:cs="Poppins"/>
              </w:rPr>
              <w:t xml:space="preserve">You can find the relevant information </w:t>
            </w:r>
            <w:r w:rsidR="00F87BEC">
              <w:rPr>
                <w:rFonts w:cs="Poppins"/>
              </w:rPr>
              <w:t>in</w:t>
            </w:r>
            <w:r>
              <w:rPr>
                <w:rFonts w:cs="Poppins"/>
              </w:rPr>
              <w:t xml:space="preserve"> </w:t>
            </w:r>
            <w:r w:rsidRPr="00F41116">
              <w:rPr>
                <w:rFonts w:cs="Poppins"/>
                <w:b/>
                <w:bCs/>
              </w:rPr>
              <w:t xml:space="preserve">Section </w:t>
            </w:r>
            <w:r w:rsidRPr="00406CA9">
              <w:rPr>
                <w:rFonts w:cs="Poppins"/>
                <w:b/>
                <w:bCs/>
              </w:rPr>
              <w:t>6</w:t>
            </w:r>
            <w:r w:rsidRPr="00F41116">
              <w:rPr>
                <w:rFonts w:cs="Poppins"/>
                <w:b/>
                <w:bCs/>
              </w:rPr>
              <w:t xml:space="preserve"> -</w:t>
            </w:r>
            <w:r w:rsidRPr="00406CA9">
              <w:rPr>
                <w:rFonts w:cs="Poppins"/>
              </w:rPr>
              <w:t xml:space="preserve"> </w:t>
            </w:r>
            <w:r w:rsidRPr="00406CA9">
              <w:rPr>
                <w:rFonts w:cs="Poppins"/>
                <w:b/>
                <w:bCs/>
              </w:rPr>
              <w:t>Assessment of alternative design for connection</w:t>
            </w:r>
            <w:r w:rsidR="00F87BEC">
              <w:rPr>
                <w:rFonts w:cs="Poppins"/>
                <w:b/>
                <w:bCs/>
              </w:rPr>
              <w:t>s</w:t>
            </w:r>
            <w:r w:rsidRPr="00406CA9">
              <w:rPr>
                <w:rFonts w:cs="Poppins"/>
                <w:b/>
                <w:bCs/>
              </w:rPr>
              <w:t xml:space="preserve"> reform</w:t>
            </w:r>
          </w:p>
        </w:tc>
      </w:tr>
      <w:tr w:rsidR="00406CA9" w:rsidRPr="00406CA9" w14:paraId="36947286" w14:textId="77777777">
        <w:tc>
          <w:tcPr>
            <w:tcW w:w="9742" w:type="dxa"/>
          </w:tcPr>
          <w:p w14:paraId="7B2E342C" w14:textId="01C64F7C" w:rsidR="00406CA9" w:rsidRPr="00406CA9" w:rsidRDefault="000C5E24">
            <w:pPr>
              <w:pStyle w:val="BodyText"/>
              <w:rPr>
                <w:rFonts w:cs="Poppins"/>
                <w:i/>
                <w:iCs/>
              </w:rPr>
            </w:pPr>
            <w:r>
              <w:rPr>
                <w:rFonts w:cs="Poppins"/>
                <w:i/>
                <w:iCs/>
              </w:rPr>
              <w:t>No</w:t>
            </w:r>
          </w:p>
        </w:tc>
      </w:tr>
    </w:tbl>
    <w:p w14:paraId="507A5F9B" w14:textId="0B1F2DAD" w:rsidR="00406CA9" w:rsidRDefault="00406CA9" w:rsidP="000E1DE7">
      <w:pPr>
        <w:pStyle w:val="BodyText"/>
        <w:rPr>
          <w:rFonts w:cs="Poppins"/>
        </w:rPr>
      </w:pPr>
    </w:p>
    <w:tbl>
      <w:tblPr>
        <w:tblStyle w:val="TableGrid"/>
        <w:tblW w:w="0" w:type="auto"/>
        <w:tblLook w:val="04A0" w:firstRow="1" w:lastRow="0" w:firstColumn="1" w:lastColumn="0" w:noHBand="0" w:noVBand="1"/>
      </w:tblPr>
      <w:tblGrid>
        <w:gridCol w:w="9742"/>
      </w:tblGrid>
      <w:tr w:rsidR="00E605CD" w:rsidRPr="00E605CD" w14:paraId="5F8BE074" w14:textId="77777777">
        <w:tc>
          <w:tcPr>
            <w:tcW w:w="9742" w:type="dxa"/>
          </w:tcPr>
          <w:p w14:paraId="08EBF7BE" w14:textId="02921826" w:rsidR="00E605CD" w:rsidRPr="00E605CD" w:rsidRDefault="00980472" w:rsidP="00E605CD">
            <w:pPr>
              <w:pStyle w:val="BodyText"/>
              <w:numPr>
                <w:ilvl w:val="0"/>
                <w:numId w:val="21"/>
              </w:numPr>
              <w:rPr>
                <w:rFonts w:cs="Poppins"/>
              </w:rPr>
            </w:pPr>
            <w:r w:rsidRPr="00980472">
              <w:rPr>
                <w:rFonts w:cs="Poppins"/>
              </w:rPr>
              <w:t>4. Do you agree that the reformed connections queue should initially focus on the 2035 time</w:t>
            </w:r>
            <w:r w:rsidR="00D03FCB">
              <w:rPr>
                <w:rFonts w:cs="Poppins"/>
              </w:rPr>
              <w:t xml:space="preserve"> </w:t>
            </w:r>
            <w:r w:rsidRPr="00980472">
              <w:rPr>
                <w:rFonts w:cs="Poppins"/>
              </w:rPr>
              <w:t>horizon?</w:t>
            </w:r>
          </w:p>
        </w:tc>
      </w:tr>
      <w:tr w:rsidR="00E605CD" w:rsidRPr="00406CA9" w14:paraId="5F3BEEA6" w14:textId="77777777">
        <w:tc>
          <w:tcPr>
            <w:tcW w:w="9742" w:type="dxa"/>
          </w:tcPr>
          <w:p w14:paraId="142EB755" w14:textId="08C3580C" w:rsidR="00E605CD" w:rsidRPr="00E605CD" w:rsidRDefault="00E605CD">
            <w:pPr>
              <w:pStyle w:val="BodyText"/>
              <w:rPr>
                <w:rFonts w:cs="Poppins"/>
                <w:b/>
                <w:bCs/>
              </w:rPr>
            </w:pPr>
            <w:r>
              <w:rPr>
                <w:rFonts w:cs="Poppins"/>
              </w:rPr>
              <w:t xml:space="preserve">You can find the relevant information </w:t>
            </w:r>
            <w:r w:rsidR="00F87BEC">
              <w:rPr>
                <w:rFonts w:cs="Poppins"/>
              </w:rPr>
              <w:t>in</w:t>
            </w:r>
            <w:r>
              <w:rPr>
                <w:rFonts w:cs="Poppins"/>
              </w:rPr>
              <w:t xml:space="preserve"> </w:t>
            </w:r>
            <w:r w:rsidRPr="00F41116">
              <w:rPr>
                <w:rFonts w:cs="Poppins"/>
                <w:b/>
                <w:bCs/>
              </w:rPr>
              <w:t>Section 4 -</w:t>
            </w:r>
            <w:r w:rsidRPr="00406CA9">
              <w:rPr>
                <w:rFonts w:cs="Poppins"/>
              </w:rPr>
              <w:t xml:space="preserve"> </w:t>
            </w:r>
            <w:r w:rsidRPr="00E605CD">
              <w:rPr>
                <w:rFonts w:cs="Poppins"/>
                <w:b/>
                <w:bCs/>
              </w:rPr>
              <w:t xml:space="preserve">Key building blocks for aligning  connections to strategic energy plans </w:t>
            </w:r>
          </w:p>
        </w:tc>
      </w:tr>
      <w:tr w:rsidR="00E605CD" w:rsidRPr="00406CA9" w14:paraId="2CA1B984" w14:textId="77777777">
        <w:tc>
          <w:tcPr>
            <w:tcW w:w="9742" w:type="dxa"/>
          </w:tcPr>
          <w:p w14:paraId="193F4E0B" w14:textId="4FEFEE00" w:rsidR="00E605CD" w:rsidRPr="00406CA9" w:rsidRDefault="00322C78">
            <w:pPr>
              <w:pStyle w:val="BodyText"/>
              <w:rPr>
                <w:rFonts w:cs="Poppins"/>
                <w:i/>
                <w:iCs/>
              </w:rPr>
            </w:pPr>
            <w:r>
              <w:rPr>
                <w:rFonts w:cs="Poppins"/>
                <w:i/>
                <w:iCs/>
              </w:rPr>
              <w:t>Y</w:t>
            </w:r>
            <w:r w:rsidR="000C5E24">
              <w:rPr>
                <w:rFonts w:cs="Poppins"/>
                <w:i/>
                <w:iCs/>
              </w:rPr>
              <w:t>es</w:t>
            </w:r>
          </w:p>
        </w:tc>
      </w:tr>
    </w:tbl>
    <w:p w14:paraId="2BF2491F" w14:textId="77777777" w:rsidR="00E605CD" w:rsidRDefault="00E605CD" w:rsidP="000E1DE7">
      <w:pPr>
        <w:pStyle w:val="BodyText"/>
        <w:rPr>
          <w:rFonts w:cs="Poppins"/>
          <w:b/>
          <w:bCs/>
        </w:rPr>
      </w:pPr>
    </w:p>
    <w:p w14:paraId="7969601B" w14:textId="0CE81DE5" w:rsidR="00E605CD" w:rsidRDefault="00952A2E" w:rsidP="000E1DE7">
      <w:pPr>
        <w:pStyle w:val="BodyText"/>
        <w:rPr>
          <w:rFonts w:cs="Poppins"/>
          <w:b/>
          <w:bCs/>
        </w:rPr>
      </w:pPr>
      <w:r>
        <w:rPr>
          <w:rFonts w:cs="Poppins"/>
          <w:b/>
          <w:bCs/>
        </w:rPr>
        <w:t>Implementation</w:t>
      </w:r>
      <w:r w:rsidR="00E605CD">
        <w:rPr>
          <w:rFonts w:cs="Poppins"/>
          <w:b/>
          <w:bCs/>
        </w:rPr>
        <w:t xml:space="preserve"> Questions</w:t>
      </w:r>
    </w:p>
    <w:p w14:paraId="5BF7B064" w14:textId="7F12F2DB" w:rsidR="00B34707" w:rsidRDefault="00B34707" w:rsidP="000E1DE7">
      <w:pPr>
        <w:pStyle w:val="BodyText"/>
        <w:rPr>
          <w:rFonts w:cs="Poppins"/>
          <w:b/>
          <w:bCs/>
        </w:rPr>
      </w:pPr>
      <w:r>
        <w:rPr>
          <w:rFonts w:cs="Poppins"/>
        </w:rPr>
        <w:t xml:space="preserve">You can find the relevant information in the </w:t>
      </w:r>
      <w:r w:rsidRPr="00406CA9">
        <w:rPr>
          <w:rFonts w:cs="Poppins"/>
          <w:b/>
          <w:bCs/>
        </w:rPr>
        <w:t>Great Britain's Connections Reform: Overview Document</w:t>
      </w:r>
    </w:p>
    <w:tbl>
      <w:tblPr>
        <w:tblStyle w:val="TableGrid"/>
        <w:tblW w:w="0" w:type="auto"/>
        <w:tblLook w:val="04A0" w:firstRow="1" w:lastRow="0" w:firstColumn="1" w:lastColumn="0" w:noHBand="0" w:noVBand="1"/>
      </w:tblPr>
      <w:tblGrid>
        <w:gridCol w:w="9742"/>
      </w:tblGrid>
      <w:tr w:rsidR="00E605CD" w14:paraId="3E14D2B7" w14:textId="77777777">
        <w:tc>
          <w:tcPr>
            <w:tcW w:w="9742" w:type="dxa"/>
          </w:tcPr>
          <w:p w14:paraId="2EEFBC3A" w14:textId="3031E47F" w:rsidR="00E605CD" w:rsidRPr="00E605CD" w:rsidRDefault="00E605CD" w:rsidP="00E605CD">
            <w:pPr>
              <w:pStyle w:val="BodyText"/>
              <w:numPr>
                <w:ilvl w:val="0"/>
                <w:numId w:val="21"/>
              </w:numPr>
              <w:rPr>
                <w:rFonts w:cs="Poppins"/>
              </w:rPr>
            </w:pPr>
            <w:r w:rsidRPr="00E605CD">
              <w:rPr>
                <w:rFonts w:cs="Poppins"/>
              </w:rPr>
              <w:t xml:space="preserve">Do NESO’s preferred options against each of the variables discussed in the Overview Document best deliver efficient alignment to Government CP30 Plan? </w:t>
            </w:r>
          </w:p>
        </w:tc>
      </w:tr>
      <w:tr w:rsidR="00E605CD" w14:paraId="3C4B24F0" w14:textId="77777777">
        <w:tc>
          <w:tcPr>
            <w:tcW w:w="9742" w:type="dxa"/>
          </w:tcPr>
          <w:p w14:paraId="3FE4818F" w14:textId="353768B9" w:rsidR="00E605CD" w:rsidRPr="00406CA9" w:rsidRDefault="00E605CD">
            <w:pPr>
              <w:pStyle w:val="BodyText"/>
              <w:rPr>
                <w:rFonts w:cs="Poppins"/>
              </w:rPr>
            </w:pPr>
            <w:r>
              <w:rPr>
                <w:rFonts w:cs="Poppins"/>
              </w:rPr>
              <w:t xml:space="preserve">You can find the relevant information </w:t>
            </w:r>
            <w:r w:rsidR="00B34707">
              <w:rPr>
                <w:rFonts w:cs="Poppins"/>
              </w:rPr>
              <w:t>in</w:t>
            </w:r>
            <w:r>
              <w:rPr>
                <w:rFonts w:cs="Poppins"/>
              </w:rPr>
              <w:t xml:space="preserve"> </w:t>
            </w:r>
            <w:r w:rsidRPr="00F41116">
              <w:rPr>
                <w:rFonts w:cs="Poppins"/>
                <w:b/>
                <w:bCs/>
              </w:rPr>
              <w:t xml:space="preserve">Section 5 - Our overall preferred connections reform design </w:t>
            </w:r>
            <w:r w:rsidRPr="00B34707">
              <w:rPr>
                <w:rFonts w:cs="Poppins"/>
              </w:rPr>
              <w:t>and</w:t>
            </w:r>
            <w:r w:rsidRPr="00F41116">
              <w:rPr>
                <w:rFonts w:cs="Poppins"/>
                <w:b/>
                <w:bCs/>
              </w:rPr>
              <w:t xml:space="preserve"> Section 7 - Further variables and options to align connections reform with strategic energy planning</w:t>
            </w:r>
            <w:r w:rsidRPr="00F41116">
              <w:rPr>
                <w:rFonts w:cs="Poppins"/>
              </w:rPr>
              <w:t xml:space="preserve"> </w:t>
            </w:r>
          </w:p>
        </w:tc>
      </w:tr>
      <w:tr w:rsidR="00E605CD" w14:paraId="68406541" w14:textId="77777777">
        <w:tc>
          <w:tcPr>
            <w:tcW w:w="9742" w:type="dxa"/>
          </w:tcPr>
          <w:p w14:paraId="29D4EACC" w14:textId="354121D3" w:rsidR="00E605CD" w:rsidRPr="00406CA9" w:rsidRDefault="003E19E5">
            <w:pPr>
              <w:pStyle w:val="BodyText"/>
              <w:rPr>
                <w:rFonts w:cs="Poppins"/>
                <w:i/>
                <w:iCs/>
              </w:rPr>
            </w:pPr>
            <w:proofErr w:type="gramStart"/>
            <w:r>
              <w:rPr>
                <w:rFonts w:cs="Poppins"/>
                <w:i/>
                <w:iCs/>
              </w:rPr>
              <w:lastRenderedPageBreak/>
              <w:t>Y</w:t>
            </w:r>
            <w:r w:rsidR="000C5E24">
              <w:rPr>
                <w:rFonts w:cs="Poppins"/>
                <w:i/>
                <w:iCs/>
              </w:rPr>
              <w:t>es</w:t>
            </w:r>
            <w:proofErr w:type="gramEnd"/>
            <w:r>
              <w:rPr>
                <w:rFonts w:cs="Poppins"/>
                <w:i/>
                <w:iCs/>
              </w:rPr>
              <w:t xml:space="preserve"> in </w:t>
            </w:r>
            <w:r w:rsidR="00D6116B">
              <w:rPr>
                <w:rFonts w:cs="Poppins"/>
                <w:i/>
                <w:iCs/>
              </w:rPr>
              <w:t>principle</w:t>
            </w:r>
            <w:r>
              <w:rPr>
                <w:rFonts w:cs="Poppins"/>
                <w:i/>
                <w:iCs/>
              </w:rPr>
              <w:t xml:space="preserve"> but there seems to be no consideration of </w:t>
            </w:r>
            <w:r w:rsidR="00E07AAD">
              <w:rPr>
                <w:rFonts w:cs="Poppins"/>
                <w:i/>
                <w:iCs/>
              </w:rPr>
              <w:t xml:space="preserve">the costs and </w:t>
            </w:r>
            <w:r>
              <w:rPr>
                <w:rFonts w:cs="Poppins"/>
                <w:i/>
                <w:iCs/>
              </w:rPr>
              <w:t>risk</w:t>
            </w:r>
            <w:r w:rsidR="00E07AAD">
              <w:rPr>
                <w:rFonts w:cs="Poppins"/>
                <w:i/>
                <w:iCs/>
              </w:rPr>
              <w:t>s</w:t>
            </w:r>
            <w:r w:rsidR="005A5AF2">
              <w:rPr>
                <w:rFonts w:cs="Poppins"/>
                <w:i/>
                <w:iCs/>
              </w:rPr>
              <w:t xml:space="preserve"> to Developers and other Users</w:t>
            </w:r>
            <w:r>
              <w:rPr>
                <w:rFonts w:cs="Poppins"/>
                <w:i/>
                <w:iCs/>
              </w:rPr>
              <w:t xml:space="preserve">.  </w:t>
            </w:r>
            <w:r w:rsidR="00FD26A0">
              <w:rPr>
                <w:rFonts w:cs="Poppins"/>
                <w:i/>
                <w:iCs/>
              </w:rPr>
              <w:t xml:space="preserve">The changes being </w:t>
            </w:r>
            <w:r w:rsidR="00D6116B">
              <w:rPr>
                <w:rFonts w:cs="Poppins"/>
                <w:i/>
                <w:iCs/>
              </w:rPr>
              <w:t>implemented</w:t>
            </w:r>
            <w:r w:rsidR="00FD26A0">
              <w:rPr>
                <w:rFonts w:cs="Poppins"/>
                <w:i/>
                <w:iCs/>
              </w:rPr>
              <w:t xml:space="preserve"> are one of th</w:t>
            </w:r>
            <w:r w:rsidR="00D6116B">
              <w:rPr>
                <w:rFonts w:cs="Poppins"/>
                <w:i/>
                <w:iCs/>
              </w:rPr>
              <w:t>e</w:t>
            </w:r>
            <w:r w:rsidR="00C84DE3">
              <w:rPr>
                <w:rFonts w:cs="Poppins"/>
                <w:i/>
                <w:iCs/>
              </w:rPr>
              <w:t xml:space="preserve"> most</w:t>
            </w:r>
            <w:r w:rsidR="00FD26A0">
              <w:rPr>
                <w:rFonts w:cs="Poppins"/>
                <w:i/>
                <w:iCs/>
              </w:rPr>
              <w:t xml:space="preserve"> fundamental since the </w:t>
            </w:r>
            <w:r w:rsidR="00D6116B">
              <w:rPr>
                <w:rFonts w:cs="Poppins"/>
                <w:i/>
                <w:iCs/>
              </w:rPr>
              <w:t>industry</w:t>
            </w:r>
            <w:r w:rsidR="00FD26A0">
              <w:rPr>
                <w:rFonts w:cs="Poppins"/>
                <w:i/>
                <w:iCs/>
              </w:rPr>
              <w:t xml:space="preserve"> was </w:t>
            </w:r>
            <w:r w:rsidR="00454949">
              <w:rPr>
                <w:rFonts w:cs="Poppins"/>
                <w:i/>
                <w:iCs/>
              </w:rPr>
              <w:t>privatised</w:t>
            </w:r>
            <w:r w:rsidR="00FD26A0">
              <w:rPr>
                <w:rFonts w:cs="Poppins"/>
                <w:i/>
                <w:iCs/>
              </w:rPr>
              <w:t xml:space="preserve"> and many things are </w:t>
            </w:r>
            <w:r w:rsidR="00D6116B">
              <w:rPr>
                <w:rFonts w:cs="Poppins"/>
                <w:i/>
                <w:iCs/>
              </w:rPr>
              <w:t>changing</w:t>
            </w:r>
            <w:r w:rsidR="00FD26A0">
              <w:rPr>
                <w:rFonts w:cs="Poppins"/>
                <w:i/>
                <w:iCs/>
              </w:rPr>
              <w:t xml:space="preserve"> at once</w:t>
            </w:r>
            <w:r w:rsidR="002B3D56">
              <w:rPr>
                <w:rFonts w:cs="Poppins"/>
                <w:i/>
                <w:iCs/>
              </w:rPr>
              <w:t xml:space="preserve">.  There is no analysis of what this means for </w:t>
            </w:r>
            <w:r w:rsidR="006E2079">
              <w:rPr>
                <w:rFonts w:cs="Poppins"/>
                <w:i/>
                <w:iCs/>
              </w:rPr>
              <w:t xml:space="preserve">affected parties </w:t>
            </w:r>
            <w:r w:rsidR="004D0EDA">
              <w:rPr>
                <w:rFonts w:cs="Poppins"/>
                <w:i/>
                <w:iCs/>
              </w:rPr>
              <w:t xml:space="preserve">including </w:t>
            </w:r>
            <w:r w:rsidR="002B3D56">
              <w:rPr>
                <w:rFonts w:cs="Poppins"/>
                <w:i/>
                <w:iCs/>
              </w:rPr>
              <w:t xml:space="preserve">investors (who are presumably expected to just proceed with </w:t>
            </w:r>
            <w:r w:rsidR="00D6116B">
              <w:rPr>
                <w:rFonts w:cs="Poppins"/>
                <w:i/>
                <w:iCs/>
              </w:rPr>
              <w:t>whatever</w:t>
            </w:r>
            <w:r w:rsidR="002B3D56">
              <w:rPr>
                <w:rFonts w:cs="Poppins"/>
                <w:i/>
                <w:iCs/>
              </w:rPr>
              <w:t xml:space="preserve"> </w:t>
            </w:r>
            <w:r w:rsidR="00F45652">
              <w:rPr>
                <w:rFonts w:cs="Poppins"/>
                <w:i/>
                <w:iCs/>
              </w:rPr>
              <w:t xml:space="preserve">the </w:t>
            </w:r>
            <w:r w:rsidR="00454949">
              <w:rPr>
                <w:rFonts w:cs="Poppins"/>
                <w:i/>
                <w:iCs/>
              </w:rPr>
              <w:t>outcome</w:t>
            </w:r>
            <w:r w:rsidR="00F45652">
              <w:rPr>
                <w:rFonts w:cs="Poppins"/>
                <w:i/>
                <w:iCs/>
              </w:rPr>
              <w:t xml:space="preserve"> is) </w:t>
            </w:r>
            <w:r w:rsidR="004D0EDA">
              <w:rPr>
                <w:rFonts w:cs="Poppins"/>
                <w:i/>
                <w:iCs/>
              </w:rPr>
              <w:t>and</w:t>
            </w:r>
            <w:r w:rsidR="00F45652">
              <w:rPr>
                <w:rFonts w:cs="Poppins"/>
                <w:i/>
                <w:iCs/>
              </w:rPr>
              <w:t xml:space="preserve"> the risk of </w:t>
            </w:r>
            <w:r w:rsidR="005813FE">
              <w:rPr>
                <w:rFonts w:cs="Poppins"/>
                <w:i/>
                <w:iCs/>
              </w:rPr>
              <w:t>an</w:t>
            </w:r>
            <w:r w:rsidR="00F45652">
              <w:rPr>
                <w:rFonts w:cs="Poppins"/>
                <w:i/>
                <w:iCs/>
              </w:rPr>
              <w:t xml:space="preserve"> </w:t>
            </w:r>
            <w:r w:rsidR="00454949">
              <w:rPr>
                <w:rFonts w:cs="Poppins"/>
                <w:i/>
                <w:iCs/>
              </w:rPr>
              <w:t>investment</w:t>
            </w:r>
            <w:r w:rsidR="00F45652">
              <w:rPr>
                <w:rFonts w:cs="Poppins"/>
                <w:i/>
                <w:iCs/>
              </w:rPr>
              <w:t xml:space="preserve"> </w:t>
            </w:r>
            <w:r w:rsidR="005813FE">
              <w:rPr>
                <w:rFonts w:cs="Poppins"/>
                <w:i/>
                <w:iCs/>
              </w:rPr>
              <w:t>a</w:t>
            </w:r>
            <w:r w:rsidR="00F45652">
              <w:rPr>
                <w:rFonts w:cs="Poppins"/>
                <w:i/>
                <w:iCs/>
              </w:rPr>
              <w:t>n</w:t>
            </w:r>
            <w:r w:rsidR="005813FE">
              <w:rPr>
                <w:rFonts w:cs="Poppins"/>
                <w:i/>
                <w:iCs/>
              </w:rPr>
              <w:t>d</w:t>
            </w:r>
            <w:r w:rsidR="00F45652">
              <w:rPr>
                <w:rFonts w:cs="Poppins"/>
                <w:i/>
                <w:iCs/>
              </w:rPr>
              <w:t xml:space="preserve"> </w:t>
            </w:r>
            <w:r w:rsidR="005813FE">
              <w:rPr>
                <w:rFonts w:cs="Poppins"/>
                <w:i/>
                <w:iCs/>
              </w:rPr>
              <w:t>development</w:t>
            </w:r>
            <w:r w:rsidR="00F45652">
              <w:rPr>
                <w:rFonts w:cs="Poppins"/>
                <w:i/>
                <w:iCs/>
              </w:rPr>
              <w:t xml:space="preserve"> hiatus given the long delay from </w:t>
            </w:r>
            <w:r w:rsidR="005C04B1">
              <w:rPr>
                <w:rFonts w:cs="Poppins"/>
                <w:i/>
                <w:iCs/>
              </w:rPr>
              <w:t>closing the system to new applications in October 2024 to getting offers</w:t>
            </w:r>
            <w:r w:rsidR="001C6EB7">
              <w:rPr>
                <w:rFonts w:cs="Poppins"/>
                <w:i/>
                <w:iCs/>
              </w:rPr>
              <w:t xml:space="preserve"> </w:t>
            </w:r>
            <w:r w:rsidR="005C04B1">
              <w:rPr>
                <w:rFonts w:cs="Poppins"/>
                <w:i/>
                <w:iCs/>
              </w:rPr>
              <w:t>lat</w:t>
            </w:r>
            <w:r w:rsidR="004D0EDA">
              <w:rPr>
                <w:rFonts w:cs="Poppins"/>
                <w:i/>
                <w:iCs/>
              </w:rPr>
              <w:t xml:space="preserve">e in 2025.  It is noted that NESO has </w:t>
            </w:r>
            <w:r w:rsidR="006207F5">
              <w:rPr>
                <w:rFonts w:cs="Poppins"/>
                <w:i/>
                <w:iCs/>
              </w:rPr>
              <w:t>published</w:t>
            </w:r>
            <w:r w:rsidR="004D0EDA">
              <w:rPr>
                <w:rFonts w:cs="Poppins"/>
                <w:i/>
                <w:iCs/>
              </w:rPr>
              <w:t xml:space="preserve"> </w:t>
            </w:r>
            <w:r w:rsidR="006207F5">
              <w:rPr>
                <w:rFonts w:cs="Poppins"/>
                <w:i/>
                <w:iCs/>
              </w:rPr>
              <w:t>analysis</w:t>
            </w:r>
            <w:r w:rsidR="004D0EDA">
              <w:rPr>
                <w:rFonts w:cs="Poppins"/>
                <w:i/>
                <w:iCs/>
              </w:rPr>
              <w:t xml:space="preserve"> of the impact </w:t>
            </w:r>
            <w:r w:rsidR="006207F5">
              <w:rPr>
                <w:rFonts w:cs="Poppins"/>
                <w:i/>
                <w:iCs/>
              </w:rPr>
              <w:t>on</w:t>
            </w:r>
            <w:r w:rsidR="004D0EDA">
              <w:rPr>
                <w:rFonts w:cs="Poppins"/>
                <w:i/>
                <w:iCs/>
              </w:rPr>
              <w:t xml:space="preserve"> the </w:t>
            </w:r>
            <w:r w:rsidR="006207F5">
              <w:rPr>
                <w:rFonts w:cs="Poppins"/>
                <w:i/>
                <w:iCs/>
              </w:rPr>
              <w:t>queue</w:t>
            </w:r>
            <w:r w:rsidR="004D0EDA">
              <w:rPr>
                <w:rFonts w:cs="Poppins"/>
                <w:i/>
                <w:iCs/>
              </w:rPr>
              <w:t xml:space="preserve"> </w:t>
            </w:r>
            <w:r w:rsidR="000875A5">
              <w:rPr>
                <w:rFonts w:cs="Poppins"/>
                <w:i/>
                <w:iCs/>
              </w:rPr>
              <w:t>(</w:t>
            </w:r>
            <w:r w:rsidR="00610F02" w:rsidRPr="00610F02">
              <w:rPr>
                <w:rFonts w:cs="Poppins"/>
                <w:i/>
                <w:iCs/>
              </w:rPr>
              <w:t xml:space="preserve">Data </w:t>
            </w:r>
            <w:r w:rsidR="00610F02">
              <w:rPr>
                <w:rFonts w:cs="Poppins"/>
                <w:i/>
                <w:iCs/>
              </w:rPr>
              <w:t xml:space="preserve">Impact </w:t>
            </w:r>
            <w:r w:rsidR="00610F02" w:rsidRPr="00610F02">
              <w:rPr>
                <w:rFonts w:cs="Poppins"/>
                <w:i/>
                <w:iCs/>
              </w:rPr>
              <w:t>Assessment</w:t>
            </w:r>
            <w:proofErr w:type="gramStart"/>
            <w:r w:rsidR="00610F02">
              <w:rPr>
                <w:rFonts w:cs="Poppins"/>
                <w:i/>
                <w:iCs/>
              </w:rPr>
              <w:t>)</w:t>
            </w:r>
            <w:proofErr w:type="gramEnd"/>
            <w:r w:rsidR="00610F02">
              <w:rPr>
                <w:rFonts w:cs="Poppins"/>
                <w:i/>
                <w:iCs/>
              </w:rPr>
              <w:t xml:space="preserve"> but this </w:t>
            </w:r>
            <w:r w:rsidR="006207F5">
              <w:rPr>
                <w:rFonts w:cs="Poppins"/>
                <w:i/>
                <w:iCs/>
              </w:rPr>
              <w:t>avoids</w:t>
            </w:r>
            <w:r w:rsidR="00610F02">
              <w:rPr>
                <w:rFonts w:cs="Poppins"/>
                <w:i/>
                <w:iCs/>
              </w:rPr>
              <w:t xml:space="preserve"> any discussion of costs and benefits </w:t>
            </w:r>
            <w:r w:rsidR="006207F5">
              <w:rPr>
                <w:rFonts w:cs="Poppins"/>
                <w:i/>
                <w:iCs/>
              </w:rPr>
              <w:t>focusing</w:t>
            </w:r>
            <w:r w:rsidR="00610F02">
              <w:rPr>
                <w:rFonts w:cs="Poppins"/>
                <w:i/>
                <w:iCs/>
              </w:rPr>
              <w:t xml:space="preserve"> only on quantification of </w:t>
            </w:r>
            <w:r w:rsidR="00044215">
              <w:rPr>
                <w:rFonts w:cs="Poppins"/>
                <w:i/>
                <w:iCs/>
              </w:rPr>
              <w:t xml:space="preserve">the impact on queue.  </w:t>
            </w:r>
            <w:r w:rsidR="00820DD9">
              <w:rPr>
                <w:rFonts w:cs="Poppins"/>
                <w:i/>
                <w:iCs/>
              </w:rPr>
              <w:t xml:space="preserve">It does not </w:t>
            </w:r>
            <w:r w:rsidR="00C2775B">
              <w:rPr>
                <w:rFonts w:cs="Poppins"/>
                <w:i/>
                <w:iCs/>
              </w:rPr>
              <w:t>contain</w:t>
            </w:r>
            <w:r w:rsidR="0095507B">
              <w:rPr>
                <w:rFonts w:cs="Poppins"/>
                <w:i/>
                <w:iCs/>
              </w:rPr>
              <w:t xml:space="preserve"> any </w:t>
            </w:r>
            <w:r w:rsidR="00C2775B">
              <w:rPr>
                <w:rFonts w:cs="Poppins"/>
                <w:i/>
                <w:iCs/>
              </w:rPr>
              <w:t>consultation</w:t>
            </w:r>
            <w:r w:rsidR="0095507B">
              <w:rPr>
                <w:rFonts w:cs="Poppins"/>
                <w:i/>
                <w:iCs/>
              </w:rPr>
              <w:t xml:space="preserve"> questions and the data sources listed are not all </w:t>
            </w:r>
            <w:r w:rsidR="00C2775B">
              <w:rPr>
                <w:rFonts w:cs="Poppins"/>
                <w:i/>
                <w:iCs/>
              </w:rPr>
              <w:t>explicit</w:t>
            </w:r>
            <w:r w:rsidR="0095507B">
              <w:rPr>
                <w:rFonts w:cs="Poppins"/>
                <w:i/>
                <w:iCs/>
              </w:rPr>
              <w:t xml:space="preserve"> </w:t>
            </w:r>
            <w:r w:rsidR="00C2775B">
              <w:rPr>
                <w:rFonts w:cs="Poppins"/>
                <w:i/>
                <w:iCs/>
              </w:rPr>
              <w:t>o</w:t>
            </w:r>
            <w:r w:rsidR="0095507B">
              <w:rPr>
                <w:rFonts w:cs="Poppins"/>
                <w:i/>
                <w:iCs/>
              </w:rPr>
              <w:t xml:space="preserve">r available to users for consideration.  </w:t>
            </w:r>
            <w:r w:rsidR="00044215">
              <w:rPr>
                <w:rFonts w:cs="Poppins"/>
                <w:i/>
                <w:iCs/>
              </w:rPr>
              <w:t>Th</w:t>
            </w:r>
            <w:r w:rsidR="0095507B">
              <w:rPr>
                <w:rFonts w:cs="Poppins"/>
                <w:i/>
                <w:iCs/>
              </w:rPr>
              <w:t>e assessment</w:t>
            </w:r>
            <w:r w:rsidR="00044215">
              <w:rPr>
                <w:rFonts w:cs="Poppins"/>
                <w:i/>
                <w:iCs/>
              </w:rPr>
              <w:t xml:space="preserve"> takes no account of </w:t>
            </w:r>
            <w:r w:rsidR="006207F5">
              <w:rPr>
                <w:rFonts w:cs="Poppins"/>
                <w:i/>
                <w:iCs/>
              </w:rPr>
              <w:t>Designation</w:t>
            </w:r>
            <w:r w:rsidR="00044215">
              <w:rPr>
                <w:rFonts w:cs="Poppins"/>
                <w:i/>
                <w:iCs/>
              </w:rPr>
              <w:t xml:space="preserve">, </w:t>
            </w:r>
            <w:r w:rsidR="006207F5">
              <w:rPr>
                <w:rFonts w:cs="Poppins"/>
                <w:i/>
                <w:iCs/>
              </w:rPr>
              <w:t>Reservation</w:t>
            </w:r>
            <w:r w:rsidR="00044215">
              <w:rPr>
                <w:rFonts w:cs="Poppins"/>
                <w:i/>
                <w:iCs/>
              </w:rPr>
              <w:t xml:space="preserve"> or what </w:t>
            </w:r>
            <w:proofErr w:type="gramStart"/>
            <w:r w:rsidR="00232E36">
              <w:rPr>
                <w:rFonts w:cs="Poppins"/>
                <w:i/>
                <w:iCs/>
              </w:rPr>
              <w:t>developers</w:t>
            </w:r>
            <w:proofErr w:type="gramEnd"/>
            <w:r w:rsidR="00232E36">
              <w:rPr>
                <w:rFonts w:cs="Poppins"/>
                <w:i/>
                <w:iCs/>
              </w:rPr>
              <w:t xml:space="preserve"> real-world </w:t>
            </w:r>
            <w:r w:rsidR="006207F5">
              <w:rPr>
                <w:rFonts w:cs="Poppins"/>
                <w:i/>
                <w:iCs/>
              </w:rPr>
              <w:t>responses</w:t>
            </w:r>
            <w:r w:rsidR="00232E36">
              <w:rPr>
                <w:rFonts w:cs="Poppins"/>
                <w:i/>
                <w:iCs/>
              </w:rPr>
              <w:t xml:space="preserve"> are likely to be in the face of the changes and thus seems to be of somewhat limited value in assessing the pro</w:t>
            </w:r>
            <w:r w:rsidR="00561A13">
              <w:rPr>
                <w:rFonts w:cs="Poppins"/>
                <w:i/>
                <w:iCs/>
              </w:rPr>
              <w:t>pos</w:t>
            </w:r>
            <w:r w:rsidR="006207F5">
              <w:rPr>
                <w:rFonts w:cs="Poppins"/>
                <w:i/>
                <w:iCs/>
              </w:rPr>
              <w:t>al</w:t>
            </w:r>
            <w:r w:rsidR="00561A13">
              <w:rPr>
                <w:rFonts w:cs="Poppins"/>
                <w:i/>
                <w:iCs/>
              </w:rPr>
              <w:t>s</w:t>
            </w:r>
            <w:r w:rsidR="006207F5">
              <w:rPr>
                <w:rFonts w:cs="Poppins"/>
                <w:i/>
                <w:iCs/>
              </w:rPr>
              <w:t>.</w:t>
            </w:r>
          </w:p>
        </w:tc>
      </w:tr>
    </w:tbl>
    <w:p w14:paraId="097963F4" w14:textId="77777777" w:rsidR="00E605CD" w:rsidRDefault="00E605CD" w:rsidP="00E605CD">
      <w:pPr>
        <w:pStyle w:val="BodyText"/>
        <w:rPr>
          <w:rFonts w:cs="Poppins"/>
        </w:rPr>
      </w:pPr>
    </w:p>
    <w:tbl>
      <w:tblPr>
        <w:tblStyle w:val="TableGrid"/>
        <w:tblW w:w="0" w:type="auto"/>
        <w:tblLook w:val="04A0" w:firstRow="1" w:lastRow="0" w:firstColumn="1" w:lastColumn="0" w:noHBand="0" w:noVBand="1"/>
      </w:tblPr>
      <w:tblGrid>
        <w:gridCol w:w="9742"/>
      </w:tblGrid>
      <w:tr w:rsidR="00E605CD" w:rsidRPr="00406CA9" w14:paraId="3A09E1D3" w14:textId="77777777">
        <w:tc>
          <w:tcPr>
            <w:tcW w:w="9742" w:type="dxa"/>
          </w:tcPr>
          <w:p w14:paraId="10FC4C5A" w14:textId="0DBFB246" w:rsidR="00E605CD" w:rsidRPr="00E605CD" w:rsidRDefault="00E605CD" w:rsidP="00E605CD">
            <w:pPr>
              <w:pStyle w:val="BodyText"/>
              <w:numPr>
                <w:ilvl w:val="0"/>
                <w:numId w:val="21"/>
              </w:numPr>
              <w:rPr>
                <w:rFonts w:cs="Poppins"/>
              </w:rPr>
            </w:pPr>
            <w:r w:rsidRPr="00E605CD">
              <w:rPr>
                <w:rFonts w:cs="Poppins"/>
              </w:rPr>
              <w:t xml:space="preserve">Do the methodologies deliver our preferred options against each of the variables? </w:t>
            </w:r>
          </w:p>
        </w:tc>
      </w:tr>
      <w:tr w:rsidR="00E605CD" w:rsidRPr="00406CA9" w14:paraId="5193E1D2" w14:textId="77777777">
        <w:tc>
          <w:tcPr>
            <w:tcW w:w="9742" w:type="dxa"/>
          </w:tcPr>
          <w:p w14:paraId="28294048" w14:textId="0D85524D" w:rsidR="00E605CD" w:rsidRPr="00406CA9" w:rsidRDefault="00E605CD">
            <w:pPr>
              <w:pStyle w:val="BodyText"/>
              <w:rPr>
                <w:rFonts w:cs="Poppins"/>
              </w:rPr>
            </w:pPr>
            <w:r>
              <w:rPr>
                <w:rFonts w:cs="Poppins"/>
              </w:rPr>
              <w:t xml:space="preserve">You can find the relevant information </w:t>
            </w:r>
            <w:r w:rsidR="00B34707">
              <w:rPr>
                <w:rFonts w:cs="Poppins"/>
              </w:rPr>
              <w:t>in</w:t>
            </w:r>
            <w:r>
              <w:rPr>
                <w:rFonts w:cs="Poppins"/>
              </w:rPr>
              <w:t xml:space="preserve"> </w:t>
            </w:r>
            <w:r w:rsidRPr="00406CA9">
              <w:rPr>
                <w:rFonts w:cs="Poppins"/>
                <w:b/>
                <w:bCs/>
              </w:rPr>
              <w:t xml:space="preserve">Section </w:t>
            </w:r>
            <w:r>
              <w:rPr>
                <w:rFonts w:cs="Poppins"/>
                <w:b/>
                <w:bCs/>
              </w:rPr>
              <w:t>3</w:t>
            </w:r>
            <w:r w:rsidRPr="00406CA9">
              <w:rPr>
                <w:rFonts w:cs="Poppins"/>
                <w:b/>
                <w:bCs/>
              </w:rPr>
              <w:t xml:space="preserve"> - </w:t>
            </w:r>
            <w:r w:rsidRPr="00E605CD">
              <w:rPr>
                <w:rFonts w:cs="Poppins"/>
                <w:b/>
                <w:bCs/>
              </w:rPr>
              <w:t xml:space="preserve">Overview of framework of codes and methodologies for connections reform </w:t>
            </w:r>
          </w:p>
        </w:tc>
      </w:tr>
      <w:tr w:rsidR="00E605CD" w:rsidRPr="00406CA9" w14:paraId="2A8CD443" w14:textId="77777777">
        <w:tc>
          <w:tcPr>
            <w:tcW w:w="9742" w:type="dxa"/>
          </w:tcPr>
          <w:p w14:paraId="17C0DFEC" w14:textId="5CA622FE" w:rsidR="00B5592A" w:rsidRDefault="00B5592A">
            <w:pPr>
              <w:pStyle w:val="BodyText"/>
              <w:rPr>
                <w:rFonts w:cs="Poppins"/>
                <w:i/>
                <w:iCs/>
              </w:rPr>
            </w:pPr>
            <w:r>
              <w:rPr>
                <w:rFonts w:cs="Poppins"/>
                <w:i/>
                <w:iCs/>
              </w:rPr>
              <w:t xml:space="preserve">There needs to be a </w:t>
            </w:r>
            <w:r w:rsidR="002C3D0B">
              <w:rPr>
                <w:rFonts w:cs="Poppins"/>
                <w:i/>
                <w:iCs/>
              </w:rPr>
              <w:t>clear</w:t>
            </w:r>
            <w:r>
              <w:rPr>
                <w:rFonts w:cs="Poppins"/>
                <w:i/>
                <w:iCs/>
              </w:rPr>
              <w:t xml:space="preserve"> statement that whilst the </w:t>
            </w:r>
            <w:r w:rsidR="002C3D0B">
              <w:rPr>
                <w:rFonts w:cs="Poppins"/>
                <w:i/>
                <w:iCs/>
              </w:rPr>
              <w:t>Methodologies</w:t>
            </w:r>
            <w:r>
              <w:rPr>
                <w:rFonts w:cs="Poppins"/>
                <w:i/>
                <w:iCs/>
              </w:rPr>
              <w:t xml:space="preserve"> are </w:t>
            </w:r>
            <w:r w:rsidR="00F17A76">
              <w:rPr>
                <w:rFonts w:cs="Poppins"/>
                <w:i/>
                <w:iCs/>
              </w:rPr>
              <w:t xml:space="preserve">prepared under the </w:t>
            </w:r>
            <w:r w:rsidR="002C3D0B">
              <w:rPr>
                <w:rFonts w:cs="Poppins"/>
                <w:i/>
                <w:iCs/>
              </w:rPr>
              <w:t>Transmission</w:t>
            </w:r>
            <w:r w:rsidR="00F17A76">
              <w:rPr>
                <w:rFonts w:cs="Poppins"/>
                <w:i/>
                <w:iCs/>
              </w:rPr>
              <w:t xml:space="preserve"> </w:t>
            </w:r>
            <w:r w:rsidR="002C3D0B">
              <w:rPr>
                <w:rFonts w:cs="Poppins"/>
                <w:i/>
                <w:iCs/>
              </w:rPr>
              <w:t>Licence</w:t>
            </w:r>
            <w:r w:rsidR="00F17A76">
              <w:rPr>
                <w:rFonts w:cs="Poppins"/>
                <w:i/>
                <w:iCs/>
              </w:rPr>
              <w:t xml:space="preserve"> and referenced in the CUSC, they do not take precedence over the terms of the CUSC which is the key legal basis </w:t>
            </w:r>
            <w:r w:rsidR="00F47929">
              <w:rPr>
                <w:rFonts w:cs="Poppins"/>
                <w:i/>
                <w:iCs/>
              </w:rPr>
              <w:t xml:space="preserve">for the terms that bind Users of the </w:t>
            </w:r>
            <w:r w:rsidR="002C3D0B">
              <w:rPr>
                <w:rFonts w:cs="Poppins"/>
                <w:i/>
                <w:iCs/>
              </w:rPr>
              <w:t>transmission</w:t>
            </w:r>
            <w:r w:rsidR="00F47929">
              <w:rPr>
                <w:rFonts w:cs="Poppins"/>
                <w:i/>
                <w:iCs/>
              </w:rPr>
              <w:t xml:space="preserve"> system</w:t>
            </w:r>
            <w:r w:rsidR="009366C3">
              <w:rPr>
                <w:rFonts w:cs="Poppins"/>
                <w:i/>
                <w:iCs/>
              </w:rPr>
              <w:t xml:space="preserve">.  </w:t>
            </w:r>
            <w:r w:rsidR="002C3D0B">
              <w:rPr>
                <w:rFonts w:cs="Poppins"/>
                <w:i/>
                <w:iCs/>
              </w:rPr>
              <w:t>Equally</w:t>
            </w:r>
            <w:r w:rsidR="009366C3">
              <w:rPr>
                <w:rFonts w:cs="Poppins"/>
                <w:i/>
                <w:iCs/>
              </w:rPr>
              <w:t xml:space="preserve"> </w:t>
            </w:r>
            <w:r w:rsidR="00B13D13">
              <w:rPr>
                <w:rFonts w:cs="Poppins"/>
                <w:i/>
                <w:iCs/>
              </w:rPr>
              <w:t xml:space="preserve">it needs to be made clear that </w:t>
            </w:r>
            <w:r w:rsidR="009366C3">
              <w:rPr>
                <w:rFonts w:cs="Poppins"/>
                <w:i/>
                <w:iCs/>
              </w:rPr>
              <w:t xml:space="preserve">whilst the </w:t>
            </w:r>
            <w:r w:rsidR="002C3D0B">
              <w:rPr>
                <w:rFonts w:cs="Poppins"/>
                <w:i/>
                <w:iCs/>
              </w:rPr>
              <w:t>Guidance</w:t>
            </w:r>
            <w:r w:rsidR="009366C3">
              <w:rPr>
                <w:rFonts w:cs="Poppins"/>
                <w:i/>
                <w:iCs/>
              </w:rPr>
              <w:t xml:space="preserve"> </w:t>
            </w:r>
            <w:r w:rsidR="002C3D0B">
              <w:rPr>
                <w:rFonts w:cs="Poppins"/>
                <w:i/>
                <w:iCs/>
              </w:rPr>
              <w:t>Documents</w:t>
            </w:r>
            <w:r w:rsidR="009366C3">
              <w:rPr>
                <w:rFonts w:cs="Poppins"/>
                <w:i/>
                <w:iCs/>
              </w:rPr>
              <w:t xml:space="preserve"> can </w:t>
            </w:r>
            <w:r w:rsidR="002C3D0B">
              <w:rPr>
                <w:rFonts w:cs="Poppins"/>
                <w:i/>
                <w:iCs/>
              </w:rPr>
              <w:t>provide</w:t>
            </w:r>
            <w:r w:rsidR="009366C3">
              <w:rPr>
                <w:rFonts w:cs="Poppins"/>
                <w:i/>
                <w:iCs/>
              </w:rPr>
              <w:t xml:space="preserve"> further detail and </w:t>
            </w:r>
            <w:proofErr w:type="gramStart"/>
            <w:r w:rsidR="009366C3">
              <w:rPr>
                <w:rFonts w:cs="Poppins"/>
                <w:i/>
                <w:iCs/>
              </w:rPr>
              <w:t>clarification</w:t>
            </w:r>
            <w:proofErr w:type="gramEnd"/>
            <w:r w:rsidR="009366C3">
              <w:rPr>
                <w:rFonts w:cs="Poppins"/>
                <w:i/>
                <w:iCs/>
              </w:rPr>
              <w:t xml:space="preserve"> </w:t>
            </w:r>
            <w:r w:rsidR="000C2709">
              <w:rPr>
                <w:rFonts w:cs="Poppins"/>
                <w:i/>
                <w:iCs/>
              </w:rPr>
              <w:t xml:space="preserve">they are </w:t>
            </w:r>
            <w:r w:rsidR="002C3D0B">
              <w:rPr>
                <w:rFonts w:cs="Poppins"/>
                <w:i/>
                <w:iCs/>
              </w:rPr>
              <w:t>subservient</w:t>
            </w:r>
            <w:r w:rsidR="000C2709">
              <w:rPr>
                <w:rFonts w:cs="Poppins"/>
                <w:i/>
                <w:iCs/>
              </w:rPr>
              <w:t xml:space="preserve"> to the </w:t>
            </w:r>
            <w:r w:rsidR="002C3D0B">
              <w:rPr>
                <w:rFonts w:cs="Poppins"/>
                <w:i/>
                <w:iCs/>
              </w:rPr>
              <w:t>Methodologies</w:t>
            </w:r>
            <w:r w:rsidR="000C2709">
              <w:rPr>
                <w:rFonts w:cs="Poppins"/>
                <w:i/>
                <w:iCs/>
              </w:rPr>
              <w:t xml:space="preserve"> and cannot override the </w:t>
            </w:r>
            <w:r w:rsidR="002C3D0B">
              <w:rPr>
                <w:rFonts w:cs="Poppins"/>
                <w:i/>
                <w:iCs/>
              </w:rPr>
              <w:t>CUSC.</w:t>
            </w:r>
          </w:p>
          <w:p w14:paraId="314B230F" w14:textId="395BF488" w:rsidR="00E605CD" w:rsidRPr="00406CA9" w:rsidRDefault="000C5E24">
            <w:pPr>
              <w:pStyle w:val="BodyText"/>
              <w:rPr>
                <w:rFonts w:cs="Poppins"/>
                <w:i/>
                <w:iCs/>
              </w:rPr>
            </w:pPr>
            <w:r>
              <w:rPr>
                <w:rFonts w:cs="Poppins"/>
                <w:i/>
                <w:iCs/>
              </w:rPr>
              <w:t>There is a major gap in t</w:t>
            </w:r>
            <w:r w:rsidR="007D190E">
              <w:rPr>
                <w:rFonts w:cs="Poppins"/>
                <w:i/>
                <w:iCs/>
              </w:rPr>
              <w:t>erms of the</w:t>
            </w:r>
            <w:r w:rsidR="004B28C5">
              <w:rPr>
                <w:rFonts w:cs="Poppins"/>
                <w:i/>
                <w:iCs/>
              </w:rPr>
              <w:t xml:space="preserve"> arrangements for</w:t>
            </w:r>
            <w:r w:rsidR="007D190E">
              <w:rPr>
                <w:rFonts w:cs="Poppins"/>
                <w:i/>
                <w:iCs/>
              </w:rPr>
              <w:t xml:space="preserve"> </w:t>
            </w:r>
            <w:r w:rsidR="004B28C5" w:rsidRPr="004B28C5">
              <w:rPr>
                <w:rFonts w:cs="Poppins"/>
                <w:i/>
                <w:iCs/>
              </w:rPr>
              <w:t>Connection Point and Capacity Reservation</w:t>
            </w:r>
            <w:r w:rsidR="004B28C5">
              <w:rPr>
                <w:rFonts w:cs="Poppins"/>
                <w:i/>
                <w:iCs/>
              </w:rPr>
              <w:t xml:space="preserve">.  This appears to be a fundamental </w:t>
            </w:r>
            <w:r w:rsidR="007A5F9C">
              <w:rPr>
                <w:rFonts w:cs="Poppins"/>
                <w:i/>
                <w:iCs/>
              </w:rPr>
              <w:t xml:space="preserve">building block which is referenced throughout the CNDM but is explained in only </w:t>
            </w:r>
            <w:proofErr w:type="gramStart"/>
            <w:r w:rsidR="007A5F9C">
              <w:rPr>
                <w:rFonts w:cs="Poppins"/>
                <w:i/>
                <w:iCs/>
              </w:rPr>
              <w:t>high level</w:t>
            </w:r>
            <w:proofErr w:type="gramEnd"/>
            <w:r w:rsidR="007A5F9C">
              <w:rPr>
                <w:rFonts w:cs="Poppins"/>
                <w:i/>
                <w:iCs/>
              </w:rPr>
              <w:t xml:space="preserve"> </w:t>
            </w:r>
            <w:r w:rsidR="00163228">
              <w:rPr>
                <w:rFonts w:cs="Poppins"/>
                <w:i/>
                <w:iCs/>
              </w:rPr>
              <w:t xml:space="preserve">terms with “examples” of how it might be used.  It is clearly a very powerful tool </w:t>
            </w:r>
            <w:r w:rsidR="00993063">
              <w:rPr>
                <w:rFonts w:cs="Poppins"/>
                <w:i/>
                <w:iCs/>
              </w:rPr>
              <w:t>(</w:t>
            </w:r>
            <w:r w:rsidR="00454949">
              <w:rPr>
                <w:rFonts w:cs="Poppins"/>
                <w:i/>
                <w:iCs/>
              </w:rPr>
              <w:t>especially</w:t>
            </w:r>
            <w:r w:rsidR="00993063">
              <w:rPr>
                <w:rFonts w:cs="Poppins"/>
                <w:i/>
                <w:iCs/>
              </w:rPr>
              <w:t xml:space="preserve"> compared with Project Designation which is quite carefully described</w:t>
            </w:r>
            <w:r w:rsidR="006515CC">
              <w:rPr>
                <w:rFonts w:cs="Poppins"/>
                <w:i/>
                <w:iCs/>
              </w:rPr>
              <w:t xml:space="preserve"> – even </w:t>
            </w:r>
            <w:r w:rsidR="00454949">
              <w:rPr>
                <w:rFonts w:cs="Poppins"/>
                <w:i/>
                <w:iCs/>
              </w:rPr>
              <w:t>constrained</w:t>
            </w:r>
            <w:r w:rsidR="006515CC">
              <w:rPr>
                <w:rFonts w:cs="Poppins"/>
                <w:i/>
                <w:iCs/>
              </w:rPr>
              <w:t xml:space="preserve"> </w:t>
            </w:r>
            <w:r w:rsidR="0032137F">
              <w:rPr>
                <w:rFonts w:cs="Poppins"/>
                <w:i/>
                <w:iCs/>
              </w:rPr>
              <w:t>in</w:t>
            </w:r>
            <w:r w:rsidR="006515CC">
              <w:rPr>
                <w:rFonts w:cs="Poppins"/>
                <w:i/>
                <w:iCs/>
              </w:rPr>
              <w:t xml:space="preserve"> places – even though this seems to have </w:t>
            </w:r>
            <w:proofErr w:type="gramStart"/>
            <w:r w:rsidR="00454949">
              <w:rPr>
                <w:rFonts w:cs="Poppins"/>
                <w:i/>
                <w:iCs/>
              </w:rPr>
              <w:t>fairly</w:t>
            </w:r>
            <w:r w:rsidR="006515CC">
              <w:rPr>
                <w:rFonts w:cs="Poppins"/>
                <w:i/>
                <w:iCs/>
              </w:rPr>
              <w:t xml:space="preserve"> limited</w:t>
            </w:r>
            <w:proofErr w:type="gramEnd"/>
            <w:r w:rsidR="006515CC">
              <w:rPr>
                <w:rFonts w:cs="Poppins"/>
                <w:i/>
                <w:iCs/>
              </w:rPr>
              <w:t xml:space="preserve"> utility</w:t>
            </w:r>
            <w:r w:rsidR="003C03A8">
              <w:rPr>
                <w:rFonts w:cs="Poppins"/>
                <w:i/>
                <w:iCs/>
              </w:rPr>
              <w:t xml:space="preserve">).  There needs to be much more </w:t>
            </w:r>
            <w:r w:rsidR="00454949">
              <w:rPr>
                <w:rFonts w:cs="Poppins"/>
                <w:i/>
                <w:iCs/>
              </w:rPr>
              <w:t>detail</w:t>
            </w:r>
            <w:r w:rsidR="003C03A8">
              <w:rPr>
                <w:rFonts w:cs="Poppins"/>
                <w:i/>
                <w:iCs/>
              </w:rPr>
              <w:t xml:space="preserve"> on this</w:t>
            </w:r>
            <w:r w:rsidR="00B745CC">
              <w:rPr>
                <w:rFonts w:cs="Poppins"/>
                <w:i/>
                <w:iCs/>
              </w:rPr>
              <w:t>,</w:t>
            </w:r>
            <w:r w:rsidR="003C03A8">
              <w:rPr>
                <w:rFonts w:cs="Poppins"/>
                <w:i/>
                <w:iCs/>
              </w:rPr>
              <w:t xml:space="preserve"> such as how </w:t>
            </w:r>
            <w:r w:rsidR="00454949">
              <w:rPr>
                <w:rFonts w:cs="Poppins"/>
                <w:i/>
                <w:iCs/>
              </w:rPr>
              <w:t>Users</w:t>
            </w:r>
            <w:r w:rsidR="003C03A8">
              <w:rPr>
                <w:rFonts w:cs="Poppins"/>
                <w:i/>
                <w:iCs/>
              </w:rPr>
              <w:t xml:space="preserve"> can apply </w:t>
            </w:r>
            <w:r w:rsidR="006C0832">
              <w:rPr>
                <w:rFonts w:cs="Poppins"/>
                <w:i/>
                <w:iCs/>
              </w:rPr>
              <w:t>for Reservation, the basis on which it is assessed and applied</w:t>
            </w:r>
            <w:r w:rsidR="003A3364">
              <w:rPr>
                <w:rFonts w:cs="Poppins"/>
                <w:i/>
                <w:iCs/>
              </w:rPr>
              <w:t xml:space="preserve"> in practice</w:t>
            </w:r>
            <w:r w:rsidR="006C0832">
              <w:rPr>
                <w:rFonts w:cs="Poppins"/>
                <w:i/>
                <w:iCs/>
              </w:rPr>
              <w:t xml:space="preserve">, </w:t>
            </w:r>
            <w:r w:rsidR="003A3364">
              <w:rPr>
                <w:rFonts w:cs="Poppins"/>
                <w:i/>
                <w:iCs/>
              </w:rPr>
              <w:t xml:space="preserve">and </w:t>
            </w:r>
            <w:r w:rsidR="006C0832">
              <w:rPr>
                <w:rFonts w:cs="Poppins"/>
                <w:i/>
                <w:iCs/>
              </w:rPr>
              <w:t xml:space="preserve">any </w:t>
            </w:r>
            <w:r w:rsidR="00454949">
              <w:rPr>
                <w:rFonts w:cs="Poppins"/>
                <w:i/>
                <w:iCs/>
              </w:rPr>
              <w:t>restrictions</w:t>
            </w:r>
            <w:r w:rsidR="006C0832">
              <w:rPr>
                <w:rFonts w:cs="Poppins"/>
                <w:i/>
                <w:iCs/>
              </w:rPr>
              <w:t xml:space="preserve"> on its use</w:t>
            </w:r>
            <w:r w:rsidR="003A3364">
              <w:rPr>
                <w:rFonts w:cs="Poppins"/>
                <w:i/>
                <w:iCs/>
              </w:rPr>
              <w:t>.  Ideally this would be by means of</w:t>
            </w:r>
            <w:r w:rsidR="006C0832">
              <w:rPr>
                <w:rFonts w:cs="Poppins"/>
                <w:i/>
                <w:iCs/>
              </w:rPr>
              <w:t xml:space="preserve"> </w:t>
            </w:r>
            <w:r w:rsidR="003C03A8">
              <w:rPr>
                <w:rFonts w:cs="Poppins"/>
                <w:i/>
                <w:iCs/>
              </w:rPr>
              <w:t xml:space="preserve">a </w:t>
            </w:r>
            <w:r w:rsidR="005813FE">
              <w:rPr>
                <w:rFonts w:cs="Poppins"/>
                <w:i/>
                <w:iCs/>
              </w:rPr>
              <w:t>separate</w:t>
            </w:r>
            <w:r w:rsidR="003C03A8">
              <w:rPr>
                <w:rFonts w:cs="Poppins"/>
                <w:i/>
                <w:iCs/>
              </w:rPr>
              <w:t xml:space="preserve"> </w:t>
            </w:r>
            <w:r w:rsidR="003A3364">
              <w:rPr>
                <w:rFonts w:cs="Poppins"/>
                <w:i/>
                <w:iCs/>
              </w:rPr>
              <w:t>Methodology</w:t>
            </w:r>
            <w:r w:rsidR="00F34D33">
              <w:rPr>
                <w:rFonts w:cs="Poppins"/>
                <w:i/>
                <w:iCs/>
              </w:rPr>
              <w:t xml:space="preserve">, with its own objectives and </w:t>
            </w:r>
            <w:r w:rsidR="00B5592A">
              <w:rPr>
                <w:rFonts w:cs="Poppins"/>
                <w:i/>
                <w:iCs/>
              </w:rPr>
              <w:t>guiding</w:t>
            </w:r>
            <w:r w:rsidR="00F34D33">
              <w:rPr>
                <w:rFonts w:cs="Poppins"/>
                <w:i/>
                <w:iCs/>
              </w:rPr>
              <w:t xml:space="preserve"> principles</w:t>
            </w:r>
            <w:r w:rsidR="003A3364">
              <w:rPr>
                <w:rFonts w:cs="Poppins"/>
                <w:i/>
                <w:iCs/>
              </w:rPr>
              <w:t>.</w:t>
            </w:r>
          </w:p>
        </w:tc>
      </w:tr>
    </w:tbl>
    <w:p w14:paraId="77B7D1B3" w14:textId="77777777" w:rsidR="00E605CD" w:rsidRDefault="00E605CD" w:rsidP="00E605CD">
      <w:pPr>
        <w:pStyle w:val="BodyText"/>
        <w:rPr>
          <w:rFonts w:cs="Poppins"/>
        </w:rPr>
      </w:pPr>
    </w:p>
    <w:tbl>
      <w:tblPr>
        <w:tblStyle w:val="TableGrid"/>
        <w:tblW w:w="0" w:type="auto"/>
        <w:tblLook w:val="04A0" w:firstRow="1" w:lastRow="0" w:firstColumn="1" w:lastColumn="0" w:noHBand="0" w:noVBand="1"/>
      </w:tblPr>
      <w:tblGrid>
        <w:gridCol w:w="9742"/>
      </w:tblGrid>
      <w:tr w:rsidR="00E605CD" w:rsidRPr="00406CA9" w14:paraId="0171B7F2" w14:textId="77777777">
        <w:tc>
          <w:tcPr>
            <w:tcW w:w="9742" w:type="dxa"/>
          </w:tcPr>
          <w:p w14:paraId="61F4A52E" w14:textId="31E3E0E7" w:rsidR="00E605CD" w:rsidRPr="00F41116" w:rsidRDefault="00F41116" w:rsidP="00F41116">
            <w:pPr>
              <w:pStyle w:val="BodyText"/>
              <w:numPr>
                <w:ilvl w:val="0"/>
                <w:numId w:val="21"/>
              </w:numPr>
              <w:rPr>
                <w:rFonts w:cs="Poppins"/>
              </w:rPr>
            </w:pPr>
            <w:r w:rsidRPr="00F41116">
              <w:rPr>
                <w:rFonts w:cs="Poppins"/>
              </w:rPr>
              <w:t xml:space="preserve">Are there key policy areas that are not covered by our preferred options against each of the variables or that would not be delivered by the methodologies? </w:t>
            </w:r>
          </w:p>
        </w:tc>
      </w:tr>
      <w:tr w:rsidR="00E605CD" w:rsidRPr="00406CA9" w14:paraId="60B3CF56" w14:textId="77777777">
        <w:tc>
          <w:tcPr>
            <w:tcW w:w="9742" w:type="dxa"/>
          </w:tcPr>
          <w:p w14:paraId="02AA776A" w14:textId="287F42EE" w:rsidR="00E605CD" w:rsidRPr="00406CA9" w:rsidRDefault="00E605CD">
            <w:pPr>
              <w:pStyle w:val="BodyText"/>
              <w:rPr>
                <w:rFonts w:cs="Poppins"/>
              </w:rPr>
            </w:pPr>
            <w:r>
              <w:rPr>
                <w:rFonts w:cs="Poppins"/>
              </w:rPr>
              <w:t xml:space="preserve">You can find the relevant information </w:t>
            </w:r>
            <w:r w:rsidR="00B34707">
              <w:rPr>
                <w:rFonts w:cs="Poppins"/>
              </w:rPr>
              <w:t>in</w:t>
            </w:r>
            <w:r>
              <w:rPr>
                <w:rFonts w:cs="Poppins"/>
              </w:rPr>
              <w:t xml:space="preserve"> </w:t>
            </w:r>
            <w:r w:rsidR="00F41116" w:rsidRPr="00B34707">
              <w:rPr>
                <w:rFonts w:cs="Poppins"/>
                <w:b/>
                <w:bCs/>
              </w:rPr>
              <w:t xml:space="preserve">Section 5 - Our overall preferred connections reform design </w:t>
            </w:r>
            <w:r w:rsidR="00F41116" w:rsidRPr="00B34707">
              <w:rPr>
                <w:rFonts w:cs="Poppins"/>
              </w:rPr>
              <w:t>and</w:t>
            </w:r>
            <w:r w:rsidR="00B34707">
              <w:rPr>
                <w:rFonts w:cs="Poppins"/>
              </w:rPr>
              <w:t xml:space="preserve"> </w:t>
            </w:r>
            <w:r w:rsidR="00F41116" w:rsidRPr="00B34707">
              <w:rPr>
                <w:rFonts w:cs="Poppins"/>
                <w:b/>
                <w:bCs/>
              </w:rPr>
              <w:t>Section 7 - Further variables and options to align connections reform with strategic energy planning</w:t>
            </w:r>
            <w:r w:rsidR="00F41116">
              <w:rPr>
                <w:rFonts w:cs="Poppins"/>
              </w:rPr>
              <w:t xml:space="preserve"> </w:t>
            </w:r>
          </w:p>
        </w:tc>
      </w:tr>
      <w:tr w:rsidR="00E605CD" w:rsidRPr="00406CA9" w14:paraId="63FDBA52" w14:textId="77777777">
        <w:tc>
          <w:tcPr>
            <w:tcW w:w="9742" w:type="dxa"/>
          </w:tcPr>
          <w:p w14:paraId="6D25F390" w14:textId="5F19D12D" w:rsidR="00E605CD" w:rsidRPr="00406CA9" w:rsidRDefault="005C1EC2">
            <w:pPr>
              <w:pStyle w:val="BodyText"/>
              <w:rPr>
                <w:rFonts w:cs="Poppins"/>
                <w:i/>
                <w:iCs/>
              </w:rPr>
            </w:pPr>
            <w:r>
              <w:rPr>
                <w:rFonts w:cs="Poppins"/>
                <w:i/>
                <w:iCs/>
              </w:rPr>
              <w:t>See comments in q 6 above</w:t>
            </w:r>
          </w:p>
        </w:tc>
      </w:tr>
    </w:tbl>
    <w:p w14:paraId="17E1C1EB" w14:textId="77777777" w:rsidR="00E605CD" w:rsidRDefault="00E605CD" w:rsidP="00E605CD">
      <w:pPr>
        <w:pStyle w:val="BodyText"/>
        <w:rPr>
          <w:rFonts w:cs="Poppins"/>
        </w:rPr>
      </w:pPr>
    </w:p>
    <w:tbl>
      <w:tblPr>
        <w:tblStyle w:val="TableGrid"/>
        <w:tblW w:w="0" w:type="auto"/>
        <w:tblLook w:val="04A0" w:firstRow="1" w:lastRow="0" w:firstColumn="1" w:lastColumn="0" w:noHBand="0" w:noVBand="1"/>
      </w:tblPr>
      <w:tblGrid>
        <w:gridCol w:w="9742"/>
      </w:tblGrid>
      <w:tr w:rsidR="00E605CD" w:rsidRPr="00E605CD" w14:paraId="065EDB5B" w14:textId="77777777">
        <w:tc>
          <w:tcPr>
            <w:tcW w:w="9742" w:type="dxa"/>
          </w:tcPr>
          <w:p w14:paraId="4AD91DF3" w14:textId="3A81DEFB" w:rsidR="00E605CD" w:rsidRPr="00F41116" w:rsidRDefault="00F41116" w:rsidP="00F41116">
            <w:pPr>
              <w:pStyle w:val="BodyText"/>
              <w:numPr>
                <w:ilvl w:val="0"/>
                <w:numId w:val="21"/>
              </w:numPr>
              <w:rPr>
                <w:rFonts w:cs="Poppins"/>
              </w:rPr>
            </w:pPr>
            <w:r w:rsidRPr="00F41116">
              <w:rPr>
                <w:rFonts w:cs="Poppins"/>
              </w:rPr>
              <w:lastRenderedPageBreak/>
              <w:t xml:space="preserve">Do you agree with our approach to managing project attrition between 2025-2030, and 2031-2035, whilst ensuring that the SSEP can deliver maximum benefits to GB consumers? </w:t>
            </w:r>
          </w:p>
        </w:tc>
      </w:tr>
      <w:tr w:rsidR="00E605CD" w:rsidRPr="00406CA9" w14:paraId="4B5756A7" w14:textId="77777777">
        <w:tc>
          <w:tcPr>
            <w:tcW w:w="9742" w:type="dxa"/>
          </w:tcPr>
          <w:p w14:paraId="0011F101" w14:textId="58CEF58A" w:rsidR="00E605CD" w:rsidRPr="00E605CD" w:rsidRDefault="00E605CD">
            <w:pPr>
              <w:pStyle w:val="BodyText"/>
              <w:rPr>
                <w:rFonts w:cs="Poppins"/>
                <w:b/>
                <w:bCs/>
              </w:rPr>
            </w:pPr>
            <w:r>
              <w:rPr>
                <w:rFonts w:cs="Poppins"/>
              </w:rPr>
              <w:t xml:space="preserve">You can find the relevant information at </w:t>
            </w:r>
            <w:r w:rsidR="00F41116" w:rsidRPr="00B34707">
              <w:rPr>
                <w:rFonts w:cs="Poppins"/>
                <w:b/>
                <w:bCs/>
              </w:rPr>
              <w:t>Section 7 - Further variables and options to align connections reform with strategic energy planning</w:t>
            </w:r>
          </w:p>
        </w:tc>
      </w:tr>
      <w:tr w:rsidR="00E605CD" w:rsidRPr="00406CA9" w14:paraId="6660BBEF" w14:textId="77777777">
        <w:tc>
          <w:tcPr>
            <w:tcW w:w="9742" w:type="dxa"/>
          </w:tcPr>
          <w:p w14:paraId="70A433B6" w14:textId="61189B68" w:rsidR="00E605CD" w:rsidRPr="00406CA9" w:rsidRDefault="008F3DFD">
            <w:pPr>
              <w:pStyle w:val="BodyText"/>
              <w:rPr>
                <w:rFonts w:cs="Poppins"/>
                <w:i/>
                <w:iCs/>
              </w:rPr>
            </w:pPr>
            <w:r>
              <w:rPr>
                <w:rFonts w:cs="Poppins"/>
                <w:i/>
                <w:iCs/>
              </w:rPr>
              <w:t xml:space="preserve">I think that there is risk in this approach as it assumes that </w:t>
            </w:r>
            <w:r w:rsidR="003C49AF">
              <w:rPr>
                <w:rFonts w:cs="Poppins"/>
                <w:i/>
                <w:iCs/>
              </w:rPr>
              <w:t>when projects fail, or contracted MWs are reduced to meet planning</w:t>
            </w:r>
            <w:r w:rsidR="00DC405F">
              <w:rPr>
                <w:rFonts w:cs="Poppins"/>
                <w:i/>
                <w:iCs/>
              </w:rPr>
              <w:t xml:space="preserve">, </w:t>
            </w:r>
            <w:r w:rsidR="002E1C70">
              <w:rPr>
                <w:rFonts w:cs="Poppins"/>
                <w:i/>
                <w:iCs/>
              </w:rPr>
              <w:t>environmental</w:t>
            </w:r>
            <w:r w:rsidR="00DC405F">
              <w:rPr>
                <w:rFonts w:cs="Poppins"/>
                <w:i/>
                <w:iCs/>
              </w:rPr>
              <w:t xml:space="preserve"> or contractual requirements, there is an unlimited queue of </w:t>
            </w:r>
            <w:r w:rsidR="005B7DB0">
              <w:rPr>
                <w:rFonts w:cs="Poppins"/>
                <w:i/>
                <w:iCs/>
              </w:rPr>
              <w:t xml:space="preserve">projects to step in (this is </w:t>
            </w:r>
            <w:r w:rsidR="002E1C70">
              <w:rPr>
                <w:rFonts w:cs="Poppins"/>
                <w:i/>
                <w:iCs/>
              </w:rPr>
              <w:t>particularly</w:t>
            </w:r>
            <w:r w:rsidR="005B7DB0">
              <w:rPr>
                <w:rFonts w:cs="Poppins"/>
                <w:i/>
                <w:iCs/>
              </w:rPr>
              <w:t xml:space="preserve"> s</w:t>
            </w:r>
            <w:r w:rsidR="002E1C70">
              <w:rPr>
                <w:rFonts w:cs="Poppins"/>
                <w:i/>
                <w:iCs/>
              </w:rPr>
              <w:t>o</w:t>
            </w:r>
            <w:r w:rsidR="005B7DB0">
              <w:rPr>
                <w:rFonts w:cs="Poppins"/>
                <w:i/>
                <w:iCs/>
              </w:rPr>
              <w:t xml:space="preserve"> in terms of MW or MWh </w:t>
            </w:r>
            <w:r w:rsidR="002E1C70">
              <w:rPr>
                <w:rFonts w:cs="Poppins"/>
                <w:i/>
                <w:iCs/>
              </w:rPr>
              <w:t>reductions</w:t>
            </w:r>
            <w:r w:rsidR="005B7DB0">
              <w:rPr>
                <w:rFonts w:cs="Poppins"/>
                <w:i/>
                <w:iCs/>
              </w:rPr>
              <w:t xml:space="preserve"> where the “bays” remain utilised</w:t>
            </w:r>
            <w:r w:rsidR="00BB436D">
              <w:rPr>
                <w:rFonts w:cs="Poppins"/>
                <w:i/>
                <w:iCs/>
              </w:rPr>
              <w:t>, but</w:t>
            </w:r>
            <w:r w:rsidR="005B7DB0">
              <w:rPr>
                <w:rFonts w:cs="Poppins"/>
                <w:i/>
                <w:iCs/>
              </w:rPr>
              <w:t xml:space="preserve"> by a smaller project)</w:t>
            </w:r>
            <w:r w:rsidR="00834961">
              <w:rPr>
                <w:rFonts w:cs="Poppins"/>
                <w:i/>
                <w:iCs/>
              </w:rPr>
              <w:t xml:space="preserve">.  As </w:t>
            </w:r>
            <w:r w:rsidR="002E1C70">
              <w:rPr>
                <w:rFonts w:cs="Poppins"/>
                <w:i/>
                <w:iCs/>
              </w:rPr>
              <w:t>such</w:t>
            </w:r>
            <w:r w:rsidR="00834961">
              <w:rPr>
                <w:rFonts w:cs="Poppins"/>
                <w:i/>
                <w:iCs/>
              </w:rPr>
              <w:t xml:space="preserve"> </w:t>
            </w:r>
            <w:r w:rsidR="002E1C70">
              <w:rPr>
                <w:rFonts w:cs="Poppins"/>
                <w:i/>
                <w:iCs/>
              </w:rPr>
              <w:t>reductions</w:t>
            </w:r>
            <w:r w:rsidR="00834961">
              <w:rPr>
                <w:rFonts w:cs="Poppins"/>
                <w:i/>
                <w:iCs/>
              </w:rPr>
              <w:t xml:space="preserve"> are an </w:t>
            </w:r>
            <w:r w:rsidR="002E1C70">
              <w:rPr>
                <w:rFonts w:cs="Poppins"/>
                <w:i/>
                <w:iCs/>
              </w:rPr>
              <w:t>inevitable</w:t>
            </w:r>
            <w:r w:rsidR="00834961">
              <w:rPr>
                <w:rFonts w:cs="Poppins"/>
                <w:i/>
                <w:iCs/>
              </w:rPr>
              <w:t xml:space="preserve"> part of the development process, it would surely have be</w:t>
            </w:r>
            <w:r w:rsidR="00D6116B">
              <w:rPr>
                <w:rFonts w:cs="Poppins"/>
                <w:i/>
                <w:iCs/>
              </w:rPr>
              <w:t>e</w:t>
            </w:r>
            <w:r w:rsidR="00834961">
              <w:rPr>
                <w:rFonts w:cs="Poppins"/>
                <w:i/>
                <w:iCs/>
              </w:rPr>
              <w:t xml:space="preserve">n </w:t>
            </w:r>
            <w:r w:rsidR="00D6116B">
              <w:rPr>
                <w:rFonts w:cs="Poppins"/>
                <w:i/>
                <w:iCs/>
              </w:rPr>
              <w:t>p</w:t>
            </w:r>
            <w:r w:rsidR="00834961">
              <w:rPr>
                <w:rFonts w:cs="Poppins"/>
                <w:i/>
                <w:iCs/>
              </w:rPr>
              <w:t>r</w:t>
            </w:r>
            <w:r w:rsidR="00D6116B">
              <w:rPr>
                <w:rFonts w:cs="Poppins"/>
                <w:i/>
                <w:iCs/>
              </w:rPr>
              <w:t>u</w:t>
            </w:r>
            <w:r w:rsidR="00834961">
              <w:rPr>
                <w:rFonts w:cs="Poppins"/>
                <w:i/>
                <w:iCs/>
              </w:rPr>
              <w:t>dent to apply a contingency element</w:t>
            </w:r>
            <w:r w:rsidR="00C9010A">
              <w:rPr>
                <w:rFonts w:cs="Poppins"/>
                <w:i/>
                <w:iCs/>
              </w:rPr>
              <w:t xml:space="preserve">.  </w:t>
            </w:r>
            <w:proofErr w:type="gramStart"/>
            <w:r w:rsidR="00C9010A">
              <w:rPr>
                <w:rFonts w:cs="Poppins"/>
                <w:i/>
                <w:iCs/>
              </w:rPr>
              <w:t>Also</w:t>
            </w:r>
            <w:proofErr w:type="gramEnd"/>
            <w:r w:rsidR="00C9010A">
              <w:rPr>
                <w:rFonts w:cs="Poppins"/>
                <w:i/>
                <w:iCs/>
              </w:rPr>
              <w:t xml:space="preserve"> it is </w:t>
            </w:r>
            <w:r w:rsidR="005813FE">
              <w:rPr>
                <w:rFonts w:cs="Poppins"/>
                <w:i/>
                <w:iCs/>
              </w:rPr>
              <w:t>unclear</w:t>
            </w:r>
            <w:r w:rsidR="00C9010A">
              <w:rPr>
                <w:rFonts w:cs="Poppins"/>
                <w:i/>
                <w:iCs/>
              </w:rPr>
              <w:t xml:space="preserve"> why a more creative approach to </w:t>
            </w:r>
            <w:r w:rsidR="005813FE">
              <w:rPr>
                <w:rFonts w:cs="Poppins"/>
                <w:i/>
                <w:iCs/>
              </w:rPr>
              <w:t>subst</w:t>
            </w:r>
            <w:r w:rsidR="00BB436D">
              <w:rPr>
                <w:rFonts w:cs="Poppins"/>
                <w:i/>
                <w:iCs/>
              </w:rPr>
              <w:t>itut</w:t>
            </w:r>
            <w:r w:rsidR="005813FE">
              <w:rPr>
                <w:rFonts w:cs="Poppins"/>
                <w:i/>
                <w:iCs/>
              </w:rPr>
              <w:t>ions</w:t>
            </w:r>
            <w:r w:rsidR="00C9010A">
              <w:rPr>
                <w:rFonts w:cs="Poppins"/>
                <w:i/>
                <w:iCs/>
              </w:rPr>
              <w:t xml:space="preserve"> could not be applied as between </w:t>
            </w:r>
            <w:r w:rsidR="005813FE">
              <w:rPr>
                <w:rFonts w:cs="Poppins"/>
                <w:i/>
                <w:iCs/>
              </w:rPr>
              <w:t>similar</w:t>
            </w:r>
            <w:r w:rsidR="00C9010A">
              <w:rPr>
                <w:rFonts w:cs="Poppins"/>
                <w:i/>
                <w:iCs/>
              </w:rPr>
              <w:t xml:space="preserve"> </w:t>
            </w:r>
            <w:r w:rsidR="0032137F">
              <w:rPr>
                <w:rFonts w:cs="Poppins"/>
                <w:i/>
                <w:iCs/>
              </w:rPr>
              <w:t>technologies</w:t>
            </w:r>
            <w:r w:rsidR="00C9010A">
              <w:rPr>
                <w:rFonts w:cs="Poppins"/>
                <w:i/>
                <w:iCs/>
              </w:rPr>
              <w:t xml:space="preserve"> (eg onshore and offshore wind) and non-adjacent locations.  There </w:t>
            </w:r>
            <w:r w:rsidR="003551D0">
              <w:rPr>
                <w:rFonts w:cs="Poppins"/>
                <w:i/>
                <w:iCs/>
              </w:rPr>
              <w:t>c</w:t>
            </w:r>
            <w:r w:rsidR="00C9010A">
              <w:rPr>
                <w:rFonts w:cs="Poppins"/>
                <w:i/>
                <w:iCs/>
              </w:rPr>
              <w:t xml:space="preserve">ould also be </w:t>
            </w:r>
            <w:r w:rsidR="005813FE">
              <w:rPr>
                <w:rFonts w:cs="Poppins"/>
                <w:i/>
                <w:iCs/>
              </w:rPr>
              <w:t>substitution</w:t>
            </w:r>
            <w:r w:rsidR="00C9010A">
              <w:rPr>
                <w:rFonts w:cs="Poppins"/>
                <w:i/>
                <w:iCs/>
              </w:rPr>
              <w:t xml:space="preserve"> opportunities as between </w:t>
            </w:r>
            <w:r w:rsidR="00316A0F">
              <w:rPr>
                <w:rFonts w:cs="Poppins"/>
                <w:i/>
                <w:iCs/>
              </w:rPr>
              <w:t>DNO areas</w:t>
            </w:r>
            <w:r w:rsidR="002E1C70">
              <w:rPr>
                <w:rFonts w:cs="Poppins"/>
                <w:i/>
                <w:iCs/>
              </w:rPr>
              <w:t xml:space="preserve">, IDNOs </w:t>
            </w:r>
            <w:r w:rsidR="00316A0F">
              <w:rPr>
                <w:rFonts w:cs="Poppins"/>
                <w:i/>
                <w:iCs/>
              </w:rPr>
              <w:t xml:space="preserve">and direct connections to the transmission system in the same or </w:t>
            </w:r>
            <w:r w:rsidR="005813FE">
              <w:rPr>
                <w:rFonts w:cs="Poppins"/>
                <w:i/>
                <w:iCs/>
              </w:rPr>
              <w:t>similar</w:t>
            </w:r>
            <w:r w:rsidR="00316A0F">
              <w:rPr>
                <w:rFonts w:cs="Poppins"/>
                <w:i/>
                <w:iCs/>
              </w:rPr>
              <w:t xml:space="preserve"> locations, which appears to be precluded by the methodologies.</w:t>
            </w:r>
          </w:p>
        </w:tc>
      </w:tr>
    </w:tbl>
    <w:p w14:paraId="727A83ED" w14:textId="77777777" w:rsidR="00E605CD" w:rsidRDefault="00E605CD" w:rsidP="000E1DE7">
      <w:pPr>
        <w:pStyle w:val="BodyText"/>
        <w:rPr>
          <w:rFonts w:cs="Poppins"/>
          <w:b/>
          <w:bCs/>
        </w:rPr>
      </w:pPr>
    </w:p>
    <w:p w14:paraId="506E5F53" w14:textId="3FA04B19" w:rsidR="00F41116" w:rsidRDefault="00F41116" w:rsidP="000E1DE7">
      <w:pPr>
        <w:pStyle w:val="BodyText"/>
        <w:rPr>
          <w:rFonts w:cs="Poppins"/>
          <w:b/>
          <w:bCs/>
        </w:rPr>
      </w:pPr>
      <w:r>
        <w:rPr>
          <w:rFonts w:cs="Poppins"/>
          <w:b/>
          <w:bCs/>
        </w:rPr>
        <w:t xml:space="preserve">Connections </w:t>
      </w:r>
      <w:r w:rsidR="00D25231">
        <w:rPr>
          <w:rFonts w:cs="Poppins"/>
          <w:b/>
          <w:bCs/>
        </w:rPr>
        <w:t xml:space="preserve">Network </w:t>
      </w:r>
      <w:r>
        <w:rPr>
          <w:rFonts w:cs="Poppins"/>
          <w:b/>
          <w:bCs/>
        </w:rPr>
        <w:t xml:space="preserve">Design Methodology </w:t>
      </w:r>
    </w:p>
    <w:p w14:paraId="4A7706F4" w14:textId="5352A9CA" w:rsidR="007B584B" w:rsidRDefault="007B584B" w:rsidP="000E1DE7">
      <w:pPr>
        <w:pStyle w:val="BodyText"/>
        <w:rPr>
          <w:rFonts w:cs="Poppins"/>
          <w:b/>
          <w:bCs/>
        </w:rPr>
      </w:pPr>
      <w:r>
        <w:rPr>
          <w:rFonts w:cs="Poppins"/>
        </w:rPr>
        <w:t xml:space="preserve">You can find the relevant information in the </w:t>
      </w:r>
      <w:hyperlink r:id="rId12" w:history="1">
        <w:r w:rsidRPr="00F41116">
          <w:rPr>
            <w:rStyle w:val="Hyperlink"/>
            <w:rFonts w:cs="Poppins"/>
            <w:b/>
            <w:bCs/>
          </w:rPr>
          <w:t>Connections Network Design Methodology - Detailed Document</w:t>
        </w:r>
      </w:hyperlink>
    </w:p>
    <w:tbl>
      <w:tblPr>
        <w:tblStyle w:val="TableGrid"/>
        <w:tblW w:w="0" w:type="auto"/>
        <w:tblLook w:val="04A0" w:firstRow="1" w:lastRow="0" w:firstColumn="1" w:lastColumn="0" w:noHBand="0" w:noVBand="1"/>
      </w:tblPr>
      <w:tblGrid>
        <w:gridCol w:w="9742"/>
      </w:tblGrid>
      <w:tr w:rsidR="00F41116" w14:paraId="3C551638" w14:textId="77777777">
        <w:tc>
          <w:tcPr>
            <w:tcW w:w="9742" w:type="dxa"/>
          </w:tcPr>
          <w:p w14:paraId="2B0D67D5" w14:textId="32CE6783" w:rsidR="00F41116" w:rsidRPr="00F41116" w:rsidRDefault="00F41116" w:rsidP="00F41116">
            <w:pPr>
              <w:pStyle w:val="BodyText"/>
              <w:numPr>
                <w:ilvl w:val="0"/>
                <w:numId w:val="21"/>
              </w:numPr>
              <w:rPr>
                <w:rFonts w:cs="Poppins"/>
              </w:rPr>
            </w:pPr>
            <w:r w:rsidRPr="00F41116">
              <w:rPr>
                <w:rFonts w:cs="Poppins"/>
              </w:rPr>
              <w:t>Do you agree with the approach to applying the Gate 2 Readiness Criteria and the Gate 2 Strategic Alignment Criteria to the existing queue and future Gate 2 Tranches?</w:t>
            </w:r>
          </w:p>
        </w:tc>
      </w:tr>
      <w:tr w:rsidR="00F41116" w14:paraId="0F434761" w14:textId="77777777">
        <w:tc>
          <w:tcPr>
            <w:tcW w:w="9742" w:type="dxa"/>
          </w:tcPr>
          <w:p w14:paraId="2231D987" w14:textId="1D79412B" w:rsidR="00F41116" w:rsidRDefault="0018285F">
            <w:pPr>
              <w:pStyle w:val="BodyText"/>
              <w:rPr>
                <w:rFonts w:cs="Poppins"/>
                <w:i/>
                <w:iCs/>
              </w:rPr>
            </w:pPr>
            <w:r>
              <w:rPr>
                <w:rFonts w:cs="Poppins"/>
                <w:i/>
                <w:iCs/>
              </w:rPr>
              <w:t xml:space="preserve">I do agree with the approach </w:t>
            </w:r>
            <w:r w:rsidR="00040C73">
              <w:rPr>
                <w:rFonts w:cs="Poppins"/>
                <w:i/>
                <w:iCs/>
              </w:rPr>
              <w:t xml:space="preserve">in general </w:t>
            </w:r>
            <w:r>
              <w:rPr>
                <w:rFonts w:cs="Poppins"/>
                <w:i/>
                <w:iCs/>
              </w:rPr>
              <w:t xml:space="preserve">but have </w:t>
            </w:r>
            <w:proofErr w:type="gramStart"/>
            <w:r>
              <w:rPr>
                <w:rFonts w:cs="Poppins"/>
                <w:i/>
                <w:iCs/>
              </w:rPr>
              <w:t>a number of</w:t>
            </w:r>
            <w:proofErr w:type="gramEnd"/>
            <w:r>
              <w:rPr>
                <w:rFonts w:cs="Poppins"/>
                <w:i/>
                <w:iCs/>
              </w:rPr>
              <w:t xml:space="preserve"> </w:t>
            </w:r>
            <w:r w:rsidR="00F12857">
              <w:rPr>
                <w:rFonts w:cs="Poppins"/>
                <w:i/>
                <w:iCs/>
              </w:rPr>
              <w:t>detailed</w:t>
            </w:r>
            <w:r>
              <w:rPr>
                <w:rFonts w:cs="Poppins"/>
                <w:i/>
                <w:iCs/>
              </w:rPr>
              <w:t xml:space="preserve"> comments as follows:</w:t>
            </w:r>
          </w:p>
          <w:p w14:paraId="6A606AD9" w14:textId="0C7DB5CB" w:rsidR="0018285F" w:rsidRDefault="0018285F" w:rsidP="006F247E">
            <w:pPr>
              <w:pStyle w:val="BodyText"/>
              <w:rPr>
                <w:rFonts w:cs="Poppins"/>
                <w:i/>
                <w:iCs/>
              </w:rPr>
            </w:pPr>
            <w:r>
              <w:rPr>
                <w:rFonts w:cs="Poppins"/>
                <w:i/>
                <w:iCs/>
              </w:rPr>
              <w:t>Section 2.2 Framework Objective</w:t>
            </w:r>
            <w:r w:rsidR="000E539A">
              <w:rPr>
                <w:rFonts w:cs="Poppins"/>
                <w:i/>
                <w:iCs/>
              </w:rPr>
              <w:t xml:space="preserve"> “Consistency and </w:t>
            </w:r>
            <w:r w:rsidR="00C72232">
              <w:rPr>
                <w:rFonts w:cs="Poppins"/>
                <w:i/>
                <w:iCs/>
              </w:rPr>
              <w:t>Transparency</w:t>
            </w:r>
            <w:r w:rsidR="000E539A">
              <w:rPr>
                <w:rFonts w:cs="Poppins"/>
                <w:i/>
                <w:iCs/>
              </w:rPr>
              <w:t xml:space="preserve">” for this to be </w:t>
            </w:r>
            <w:r w:rsidR="00C72232">
              <w:rPr>
                <w:rFonts w:cs="Poppins"/>
                <w:i/>
                <w:iCs/>
              </w:rPr>
              <w:t>meaningful</w:t>
            </w:r>
            <w:r w:rsidR="000E539A">
              <w:rPr>
                <w:rFonts w:cs="Poppins"/>
                <w:i/>
                <w:iCs/>
              </w:rPr>
              <w:t xml:space="preserve"> NESO should </w:t>
            </w:r>
            <w:r w:rsidR="003C38C4">
              <w:rPr>
                <w:rFonts w:cs="Poppins"/>
                <w:i/>
                <w:iCs/>
              </w:rPr>
              <w:t>commit</w:t>
            </w:r>
            <w:r w:rsidR="000E539A">
              <w:rPr>
                <w:rFonts w:cs="Poppins"/>
                <w:i/>
                <w:iCs/>
              </w:rPr>
              <w:t xml:space="preserve"> to the principles of openness and </w:t>
            </w:r>
            <w:r w:rsidR="00C72232">
              <w:rPr>
                <w:rFonts w:cs="Poppins"/>
                <w:i/>
                <w:iCs/>
              </w:rPr>
              <w:t>transparency</w:t>
            </w:r>
            <w:r w:rsidR="000E539A">
              <w:rPr>
                <w:rFonts w:cs="Poppins"/>
                <w:i/>
                <w:iCs/>
              </w:rPr>
              <w:t xml:space="preserve"> </w:t>
            </w:r>
            <w:r w:rsidR="003C38C4">
              <w:rPr>
                <w:rFonts w:cs="Poppins"/>
                <w:i/>
                <w:iCs/>
              </w:rPr>
              <w:t>embodied</w:t>
            </w:r>
            <w:r w:rsidR="000E539A">
              <w:rPr>
                <w:rFonts w:cs="Poppins"/>
                <w:i/>
                <w:iCs/>
              </w:rPr>
              <w:t xml:space="preserve"> in the </w:t>
            </w:r>
            <w:r w:rsidR="00115FAF">
              <w:rPr>
                <w:rFonts w:cs="Poppins"/>
                <w:i/>
                <w:iCs/>
              </w:rPr>
              <w:t xml:space="preserve">outcome of the Energy Data Taskforce Report </w:t>
            </w:r>
            <w:r w:rsidR="00760DCC">
              <w:rPr>
                <w:rFonts w:cs="Poppins"/>
                <w:i/>
                <w:iCs/>
              </w:rPr>
              <w:t xml:space="preserve">which includes the </w:t>
            </w:r>
            <w:r w:rsidR="00760DCC" w:rsidRPr="00760DCC">
              <w:rPr>
                <w:rFonts w:cs="Poppins"/>
                <w:i/>
                <w:iCs/>
              </w:rPr>
              <w:t>Presumed Open default for data accessibility</w:t>
            </w:r>
            <w:r w:rsidR="006F247E">
              <w:rPr>
                <w:rFonts w:cs="Poppins"/>
                <w:i/>
                <w:iCs/>
              </w:rPr>
              <w:t xml:space="preserve"> which</w:t>
            </w:r>
            <w:r w:rsidR="00760DCC" w:rsidRPr="00760DCC">
              <w:rPr>
                <w:rFonts w:cs="Poppins"/>
                <w:i/>
                <w:iCs/>
              </w:rPr>
              <w:t xml:space="preserve"> </w:t>
            </w:r>
            <w:r w:rsidR="006F247E">
              <w:rPr>
                <w:rFonts w:cs="Poppins"/>
                <w:i/>
                <w:iCs/>
              </w:rPr>
              <w:t>“</w:t>
            </w:r>
            <w:r w:rsidR="00760DCC" w:rsidRPr="00760DCC">
              <w:rPr>
                <w:rFonts w:cs="Poppins"/>
                <w:i/>
                <w:iCs/>
              </w:rPr>
              <w:t>recognises that Energy System Data</w:t>
            </w:r>
            <w:r w:rsidR="006F247E">
              <w:rPr>
                <w:rFonts w:cs="Poppins"/>
                <w:i/>
                <w:iCs/>
              </w:rPr>
              <w:t xml:space="preserve"> </w:t>
            </w:r>
            <w:r w:rsidR="00760DCC" w:rsidRPr="00760DCC">
              <w:rPr>
                <w:rFonts w:cs="Poppins"/>
                <w:i/>
                <w:iCs/>
              </w:rPr>
              <w:t>needs to be managed and that totally open is not always appropriate;</w:t>
            </w:r>
            <w:r w:rsidR="006F247E">
              <w:rPr>
                <w:rFonts w:cs="Poppins"/>
                <w:i/>
                <w:iCs/>
              </w:rPr>
              <w:t xml:space="preserve"> </w:t>
            </w:r>
            <w:r w:rsidR="00760DCC" w:rsidRPr="00760DCC">
              <w:rPr>
                <w:rFonts w:cs="Poppins"/>
                <w:i/>
                <w:iCs/>
              </w:rPr>
              <w:t>however, this principle places the onus on data owners to “start from</w:t>
            </w:r>
            <w:r w:rsidR="006F247E">
              <w:rPr>
                <w:rFonts w:cs="Poppins"/>
                <w:i/>
                <w:iCs/>
              </w:rPr>
              <w:t xml:space="preserve"> </w:t>
            </w:r>
            <w:r w:rsidR="00760DCC" w:rsidRPr="00760DCC">
              <w:rPr>
                <w:rFonts w:cs="Poppins"/>
                <w:i/>
                <w:iCs/>
              </w:rPr>
              <w:t>open” justifying why any restriction might be required</w:t>
            </w:r>
            <w:r w:rsidR="006F247E">
              <w:rPr>
                <w:rFonts w:cs="Poppins"/>
                <w:i/>
                <w:iCs/>
              </w:rPr>
              <w:t>”.</w:t>
            </w:r>
            <w:r w:rsidR="00862884">
              <w:rPr>
                <w:rFonts w:cs="Poppins"/>
                <w:i/>
                <w:iCs/>
              </w:rPr>
              <w:t xml:space="preserve">  This is clearly not occurring at </w:t>
            </w:r>
            <w:r w:rsidR="00C72232">
              <w:rPr>
                <w:rFonts w:cs="Poppins"/>
                <w:i/>
                <w:iCs/>
              </w:rPr>
              <w:t>present</w:t>
            </w:r>
            <w:r w:rsidR="00862884">
              <w:rPr>
                <w:rFonts w:cs="Poppins"/>
                <w:i/>
                <w:iCs/>
              </w:rPr>
              <w:t xml:space="preserve"> and should be </w:t>
            </w:r>
            <w:r w:rsidR="00C72232">
              <w:rPr>
                <w:rFonts w:cs="Poppins"/>
                <w:i/>
                <w:iCs/>
              </w:rPr>
              <w:t>embodied</w:t>
            </w:r>
            <w:r w:rsidR="00862884">
              <w:rPr>
                <w:rFonts w:cs="Poppins"/>
                <w:i/>
                <w:iCs/>
              </w:rPr>
              <w:t xml:space="preserve"> through the CNDM.</w:t>
            </w:r>
            <w:r w:rsidR="00AD2338">
              <w:rPr>
                <w:rFonts w:cs="Poppins"/>
                <w:i/>
                <w:iCs/>
              </w:rPr>
              <w:t xml:space="preserve">  To this end the data set</w:t>
            </w:r>
            <w:r w:rsidR="00FE01F0">
              <w:rPr>
                <w:rFonts w:cs="Poppins"/>
                <w:i/>
                <w:iCs/>
              </w:rPr>
              <w:t>s</w:t>
            </w:r>
            <w:r w:rsidR="00AD2338">
              <w:rPr>
                <w:rFonts w:cs="Poppins"/>
                <w:i/>
                <w:iCs/>
              </w:rPr>
              <w:t xml:space="preserve"> noted in </w:t>
            </w:r>
            <w:r w:rsidR="00136086">
              <w:rPr>
                <w:rFonts w:cs="Poppins"/>
                <w:i/>
                <w:iCs/>
              </w:rPr>
              <w:t>section</w:t>
            </w:r>
            <w:r w:rsidR="00FE01F0">
              <w:rPr>
                <w:rFonts w:cs="Poppins"/>
                <w:i/>
                <w:iCs/>
              </w:rPr>
              <w:t>s</w:t>
            </w:r>
            <w:r w:rsidR="00136086">
              <w:rPr>
                <w:rFonts w:cs="Poppins"/>
                <w:i/>
                <w:iCs/>
              </w:rPr>
              <w:t xml:space="preserve"> 4.2.3 </w:t>
            </w:r>
            <w:r w:rsidR="00FE01F0">
              <w:rPr>
                <w:rFonts w:cs="Poppins"/>
                <w:i/>
                <w:iCs/>
              </w:rPr>
              <w:t xml:space="preserve">and 4.2.5 </w:t>
            </w:r>
            <w:r w:rsidR="00C72232">
              <w:rPr>
                <w:rFonts w:cs="Poppins"/>
                <w:i/>
                <w:iCs/>
              </w:rPr>
              <w:t>should</w:t>
            </w:r>
            <w:r w:rsidR="00136086">
              <w:rPr>
                <w:rFonts w:cs="Poppins"/>
                <w:i/>
                <w:iCs/>
              </w:rPr>
              <w:t xml:space="preserve"> be published except whether there is a clear objective reason for not doing so</w:t>
            </w:r>
            <w:r w:rsidR="00EC6134">
              <w:rPr>
                <w:rFonts w:cs="Poppins"/>
                <w:i/>
                <w:iCs/>
              </w:rPr>
              <w:t>.</w:t>
            </w:r>
          </w:p>
          <w:p w14:paraId="24CEC8ED" w14:textId="080ED1BB" w:rsidR="00EC6134" w:rsidRDefault="00EC6134" w:rsidP="006F247E">
            <w:pPr>
              <w:pStyle w:val="BodyText"/>
              <w:rPr>
                <w:rFonts w:cs="Poppins"/>
                <w:i/>
                <w:iCs/>
              </w:rPr>
            </w:pPr>
            <w:r>
              <w:rPr>
                <w:rFonts w:cs="Poppins"/>
                <w:i/>
                <w:iCs/>
              </w:rPr>
              <w:t>Section 5.</w:t>
            </w:r>
            <w:r w:rsidR="00487340">
              <w:rPr>
                <w:rFonts w:cs="Poppins"/>
                <w:i/>
                <w:iCs/>
              </w:rPr>
              <w:t>5</w:t>
            </w:r>
            <w:r w:rsidR="00767E08">
              <w:rPr>
                <w:rFonts w:cs="Poppins"/>
                <w:i/>
                <w:iCs/>
              </w:rPr>
              <w:t>.5</w:t>
            </w:r>
            <w:r>
              <w:rPr>
                <w:rFonts w:cs="Poppins"/>
                <w:i/>
                <w:iCs/>
              </w:rPr>
              <w:t xml:space="preserve"> </w:t>
            </w:r>
            <w:r w:rsidR="00C43247">
              <w:rPr>
                <w:rFonts w:cs="Poppins"/>
                <w:i/>
                <w:iCs/>
              </w:rPr>
              <w:t xml:space="preserve">appears only to say that if aligned to CP30 and </w:t>
            </w:r>
            <w:r w:rsidR="005C7C1E">
              <w:rPr>
                <w:rFonts w:cs="Poppins"/>
                <w:i/>
                <w:iCs/>
              </w:rPr>
              <w:t xml:space="preserve">meeting the readiness criteria, projects </w:t>
            </w:r>
            <w:r w:rsidR="00C72232">
              <w:rPr>
                <w:rFonts w:cs="Poppins"/>
                <w:i/>
                <w:iCs/>
              </w:rPr>
              <w:t>under construction</w:t>
            </w:r>
            <w:r w:rsidR="005C7C1E">
              <w:rPr>
                <w:rFonts w:cs="Poppins"/>
                <w:i/>
                <w:iCs/>
              </w:rPr>
              <w:t xml:space="preserve"> </w:t>
            </w:r>
            <w:r w:rsidR="009D418B">
              <w:rPr>
                <w:rFonts w:cs="Poppins"/>
                <w:i/>
                <w:iCs/>
              </w:rPr>
              <w:t xml:space="preserve">and due to complete by end 2026 “will not be adversely impacted”.  Surely it is the </w:t>
            </w:r>
            <w:r w:rsidR="00C72232">
              <w:rPr>
                <w:rFonts w:cs="Poppins"/>
                <w:i/>
                <w:iCs/>
              </w:rPr>
              <w:t>intention</w:t>
            </w:r>
            <w:r w:rsidR="009D418B">
              <w:rPr>
                <w:rFonts w:cs="Poppins"/>
                <w:i/>
                <w:iCs/>
              </w:rPr>
              <w:t xml:space="preserve"> that all users with </w:t>
            </w:r>
            <w:r w:rsidR="00C72232">
              <w:rPr>
                <w:rFonts w:cs="Poppins"/>
                <w:i/>
                <w:iCs/>
              </w:rPr>
              <w:t>contracted</w:t>
            </w:r>
            <w:r w:rsidR="009D418B">
              <w:rPr>
                <w:rFonts w:cs="Poppins"/>
                <w:i/>
                <w:iCs/>
              </w:rPr>
              <w:t xml:space="preserve"> completion dates, aligned to CP30 and meeting the readiness criteria will </w:t>
            </w:r>
            <w:r w:rsidR="00E20E92">
              <w:rPr>
                <w:rFonts w:cs="Poppins"/>
                <w:i/>
                <w:iCs/>
              </w:rPr>
              <w:t>not be adversely impacted</w:t>
            </w:r>
            <w:r w:rsidR="00AC026E">
              <w:rPr>
                <w:rFonts w:cs="Poppins"/>
                <w:i/>
                <w:iCs/>
              </w:rPr>
              <w:t xml:space="preserve">, </w:t>
            </w:r>
            <w:r w:rsidR="00D954E3">
              <w:rPr>
                <w:rFonts w:cs="Poppins"/>
                <w:i/>
                <w:iCs/>
              </w:rPr>
              <w:t xml:space="preserve">and If we take it for read that any project under </w:t>
            </w:r>
            <w:r w:rsidR="00C72232">
              <w:rPr>
                <w:rFonts w:cs="Poppins"/>
                <w:i/>
                <w:iCs/>
              </w:rPr>
              <w:t>construction</w:t>
            </w:r>
            <w:r w:rsidR="00D954E3">
              <w:rPr>
                <w:rFonts w:cs="Poppins"/>
                <w:i/>
                <w:iCs/>
              </w:rPr>
              <w:t xml:space="preserve"> will have secured land, then </w:t>
            </w:r>
            <w:r w:rsidR="00AC026E">
              <w:rPr>
                <w:rFonts w:cs="Poppins"/>
                <w:i/>
                <w:iCs/>
              </w:rPr>
              <w:t xml:space="preserve">the </w:t>
            </w:r>
            <w:r w:rsidR="00D954E3">
              <w:rPr>
                <w:rFonts w:cs="Poppins"/>
                <w:i/>
                <w:iCs/>
              </w:rPr>
              <w:t xml:space="preserve">key </w:t>
            </w:r>
            <w:r w:rsidR="00AC026E">
              <w:rPr>
                <w:rFonts w:cs="Poppins"/>
                <w:i/>
                <w:iCs/>
              </w:rPr>
              <w:t xml:space="preserve">question </w:t>
            </w:r>
            <w:r w:rsidR="00D954E3">
              <w:rPr>
                <w:rFonts w:cs="Poppins"/>
                <w:i/>
                <w:iCs/>
              </w:rPr>
              <w:t>is</w:t>
            </w:r>
            <w:r w:rsidR="00AC026E">
              <w:rPr>
                <w:rFonts w:cs="Poppins"/>
                <w:i/>
                <w:iCs/>
              </w:rPr>
              <w:t xml:space="preserve"> w</w:t>
            </w:r>
            <w:r w:rsidR="00D954E3">
              <w:rPr>
                <w:rFonts w:cs="Poppins"/>
                <w:i/>
                <w:iCs/>
              </w:rPr>
              <w:t>hat is the position of a</w:t>
            </w:r>
            <w:r w:rsidR="000C1D1C">
              <w:rPr>
                <w:rFonts w:cs="Poppins"/>
                <w:i/>
                <w:iCs/>
              </w:rPr>
              <w:t xml:space="preserve">n under </w:t>
            </w:r>
            <w:r w:rsidR="00C72232">
              <w:rPr>
                <w:rFonts w:cs="Poppins"/>
                <w:i/>
                <w:iCs/>
              </w:rPr>
              <w:t>construction</w:t>
            </w:r>
            <w:r w:rsidR="000C1D1C">
              <w:rPr>
                <w:rFonts w:cs="Poppins"/>
                <w:i/>
                <w:iCs/>
              </w:rPr>
              <w:t xml:space="preserve"> </w:t>
            </w:r>
            <w:r w:rsidR="003C38C4">
              <w:rPr>
                <w:rFonts w:cs="Poppins"/>
                <w:i/>
                <w:iCs/>
              </w:rPr>
              <w:t>projects</w:t>
            </w:r>
            <w:r w:rsidR="000C1D1C">
              <w:rPr>
                <w:rFonts w:cs="Poppins"/>
                <w:i/>
                <w:iCs/>
              </w:rPr>
              <w:t xml:space="preserve"> that does not meet CP30.  </w:t>
            </w:r>
            <w:r w:rsidR="004B65A1">
              <w:rPr>
                <w:rFonts w:cs="Poppins"/>
                <w:i/>
                <w:iCs/>
              </w:rPr>
              <w:t xml:space="preserve">Is NESO really </w:t>
            </w:r>
            <w:r w:rsidR="00C72232">
              <w:rPr>
                <w:rFonts w:cs="Poppins"/>
                <w:i/>
                <w:iCs/>
              </w:rPr>
              <w:t>reserving</w:t>
            </w:r>
            <w:r w:rsidR="004B65A1">
              <w:rPr>
                <w:rFonts w:cs="Poppins"/>
                <w:i/>
                <w:iCs/>
              </w:rPr>
              <w:t xml:space="preserve"> the right to cancel the </w:t>
            </w:r>
            <w:r w:rsidR="00C72232">
              <w:rPr>
                <w:rFonts w:cs="Poppins"/>
                <w:i/>
                <w:iCs/>
              </w:rPr>
              <w:t>contractual</w:t>
            </w:r>
            <w:r w:rsidR="004B65A1">
              <w:rPr>
                <w:rFonts w:cs="Poppins"/>
                <w:i/>
                <w:iCs/>
              </w:rPr>
              <w:t xml:space="preserve"> commitment to conn</w:t>
            </w:r>
            <w:r w:rsidR="00C75A35">
              <w:rPr>
                <w:rFonts w:cs="Poppins"/>
                <w:i/>
                <w:iCs/>
              </w:rPr>
              <w:t>ect a part</w:t>
            </w:r>
            <w:r w:rsidR="003551D0">
              <w:rPr>
                <w:rFonts w:cs="Poppins"/>
                <w:i/>
                <w:iCs/>
              </w:rPr>
              <w:t>y</w:t>
            </w:r>
            <w:r w:rsidR="00C75A35">
              <w:rPr>
                <w:rFonts w:cs="Poppins"/>
                <w:i/>
                <w:iCs/>
              </w:rPr>
              <w:t xml:space="preserve"> that is already under</w:t>
            </w:r>
            <w:r w:rsidR="00C72232">
              <w:rPr>
                <w:rFonts w:cs="Poppins"/>
                <w:i/>
                <w:iCs/>
              </w:rPr>
              <w:t xml:space="preserve"> </w:t>
            </w:r>
            <w:r w:rsidR="003C38C4">
              <w:rPr>
                <w:rFonts w:cs="Poppins"/>
                <w:i/>
                <w:iCs/>
              </w:rPr>
              <w:t>construction</w:t>
            </w:r>
            <w:r w:rsidR="00C75A35">
              <w:rPr>
                <w:rFonts w:cs="Poppins"/>
                <w:i/>
                <w:iCs/>
              </w:rPr>
              <w:t xml:space="preserve">?  This needs to be changed, </w:t>
            </w:r>
            <w:proofErr w:type="gramStart"/>
            <w:r w:rsidR="00C75A35">
              <w:rPr>
                <w:rFonts w:cs="Poppins"/>
                <w:i/>
                <w:iCs/>
              </w:rPr>
              <w:t>and also</w:t>
            </w:r>
            <w:proofErr w:type="gramEnd"/>
            <w:r w:rsidR="00C75A35">
              <w:rPr>
                <w:rFonts w:cs="Poppins"/>
                <w:i/>
                <w:iCs/>
              </w:rPr>
              <w:t xml:space="preserve"> the 2026</w:t>
            </w:r>
            <w:r w:rsidR="00074EE6">
              <w:rPr>
                <w:rFonts w:cs="Poppins"/>
                <w:i/>
                <w:iCs/>
              </w:rPr>
              <w:t xml:space="preserve"> cut-off is too soon, </w:t>
            </w:r>
            <w:r w:rsidR="00FE450E">
              <w:rPr>
                <w:rFonts w:cs="Poppins"/>
                <w:i/>
                <w:iCs/>
              </w:rPr>
              <w:t>I am</w:t>
            </w:r>
            <w:r w:rsidR="00074EE6">
              <w:rPr>
                <w:rFonts w:cs="Poppins"/>
                <w:i/>
                <w:iCs/>
              </w:rPr>
              <w:t xml:space="preserve"> </w:t>
            </w:r>
            <w:r w:rsidR="00C72232">
              <w:rPr>
                <w:rFonts w:cs="Poppins"/>
                <w:i/>
                <w:iCs/>
              </w:rPr>
              <w:t>aware</w:t>
            </w:r>
            <w:r w:rsidR="00074EE6">
              <w:rPr>
                <w:rFonts w:cs="Poppins"/>
                <w:i/>
                <w:iCs/>
              </w:rPr>
              <w:t xml:space="preserve"> of major projects </w:t>
            </w:r>
            <w:r w:rsidR="00C72232">
              <w:rPr>
                <w:rFonts w:cs="Poppins"/>
                <w:i/>
                <w:iCs/>
              </w:rPr>
              <w:t>already</w:t>
            </w:r>
            <w:r w:rsidR="00074EE6">
              <w:rPr>
                <w:rFonts w:cs="Poppins"/>
                <w:i/>
                <w:iCs/>
              </w:rPr>
              <w:t xml:space="preserve"> </w:t>
            </w:r>
            <w:r w:rsidR="003C38C4">
              <w:rPr>
                <w:rFonts w:cs="Poppins"/>
                <w:i/>
                <w:iCs/>
              </w:rPr>
              <w:t>under construction</w:t>
            </w:r>
            <w:r w:rsidR="00074EE6">
              <w:rPr>
                <w:rFonts w:cs="Poppins"/>
                <w:i/>
                <w:iCs/>
              </w:rPr>
              <w:t xml:space="preserve"> that will commission in 2027</w:t>
            </w:r>
            <w:r w:rsidR="00040C73">
              <w:rPr>
                <w:rFonts w:cs="Poppins"/>
                <w:i/>
                <w:iCs/>
              </w:rPr>
              <w:t>.</w:t>
            </w:r>
          </w:p>
          <w:p w14:paraId="5180CBD4" w14:textId="4D137FA7" w:rsidR="00C9544A" w:rsidRDefault="00C9544A" w:rsidP="006F247E">
            <w:pPr>
              <w:pStyle w:val="BodyText"/>
              <w:rPr>
                <w:rFonts w:cs="Poppins"/>
                <w:i/>
                <w:iCs/>
              </w:rPr>
            </w:pPr>
            <w:r>
              <w:rPr>
                <w:rFonts w:cs="Poppins"/>
                <w:i/>
                <w:iCs/>
              </w:rPr>
              <w:lastRenderedPageBreak/>
              <w:t xml:space="preserve">Given the </w:t>
            </w:r>
            <w:r w:rsidR="00C72232">
              <w:rPr>
                <w:rFonts w:cs="Poppins"/>
                <w:i/>
                <w:iCs/>
              </w:rPr>
              <w:t>significance</w:t>
            </w:r>
            <w:r>
              <w:rPr>
                <w:rFonts w:cs="Poppins"/>
                <w:i/>
                <w:iCs/>
              </w:rPr>
              <w:t xml:space="preserve"> of the existing queue position </w:t>
            </w:r>
            <w:r w:rsidR="00E56A34">
              <w:rPr>
                <w:rFonts w:cs="Poppins"/>
                <w:i/>
                <w:iCs/>
              </w:rPr>
              <w:t>and the planning status of projects, it is essential that NESO publishes this information for all users to review and correct where there are errors.</w:t>
            </w:r>
          </w:p>
          <w:p w14:paraId="27534A2D" w14:textId="157F5B61" w:rsidR="00DB7B30" w:rsidRDefault="00D73446" w:rsidP="006F247E">
            <w:pPr>
              <w:pStyle w:val="BodyText"/>
              <w:rPr>
                <w:rFonts w:cs="Poppins"/>
                <w:i/>
                <w:iCs/>
              </w:rPr>
            </w:pPr>
            <w:r>
              <w:rPr>
                <w:rFonts w:cs="Poppins"/>
                <w:i/>
                <w:iCs/>
              </w:rPr>
              <w:t xml:space="preserve">Section 5.20 does not refer to Reservations, it would be helpful </w:t>
            </w:r>
            <w:r w:rsidR="00EE3D3C">
              <w:rPr>
                <w:rFonts w:cs="Poppins"/>
                <w:i/>
                <w:iCs/>
              </w:rPr>
              <w:t xml:space="preserve">to </w:t>
            </w:r>
            <w:r w:rsidR="00C72232">
              <w:rPr>
                <w:rFonts w:cs="Poppins"/>
                <w:i/>
                <w:iCs/>
              </w:rPr>
              <w:t>understand</w:t>
            </w:r>
            <w:r>
              <w:rPr>
                <w:rFonts w:cs="Poppins"/>
                <w:i/>
                <w:iCs/>
              </w:rPr>
              <w:t xml:space="preserve"> how these will fit in</w:t>
            </w:r>
            <w:r w:rsidR="008B5404">
              <w:rPr>
                <w:rFonts w:cs="Poppins"/>
                <w:i/>
                <w:iCs/>
              </w:rPr>
              <w:t xml:space="preserve"> (noting that they are covered in 5.21).  </w:t>
            </w:r>
            <w:r w:rsidR="00E66E25">
              <w:rPr>
                <w:rFonts w:cs="Poppins"/>
                <w:i/>
                <w:iCs/>
              </w:rPr>
              <w:t xml:space="preserve">Could there be a case in Figure </w:t>
            </w:r>
            <w:r w:rsidR="00A770D9">
              <w:rPr>
                <w:rFonts w:cs="Poppins"/>
                <w:i/>
                <w:iCs/>
              </w:rPr>
              <w:t>11, where project 7 will still need to wait for Reinforcement C i</w:t>
            </w:r>
            <w:r w:rsidR="00934D09">
              <w:rPr>
                <w:rFonts w:cs="Poppins"/>
                <w:i/>
                <w:iCs/>
              </w:rPr>
              <w:t>f</w:t>
            </w:r>
            <w:r w:rsidR="00A770D9">
              <w:rPr>
                <w:rFonts w:cs="Poppins"/>
                <w:i/>
                <w:iCs/>
              </w:rPr>
              <w:t xml:space="preserve"> capacity is reserved ahead of it?  Or is that not possible?  Also in F</w:t>
            </w:r>
            <w:r w:rsidR="008B5404">
              <w:rPr>
                <w:rFonts w:cs="Poppins"/>
                <w:i/>
                <w:iCs/>
              </w:rPr>
              <w:t>ig</w:t>
            </w:r>
            <w:r w:rsidR="00A770D9">
              <w:rPr>
                <w:rFonts w:cs="Poppins"/>
                <w:i/>
                <w:iCs/>
              </w:rPr>
              <w:t>u</w:t>
            </w:r>
            <w:r w:rsidR="008B5404">
              <w:rPr>
                <w:rFonts w:cs="Poppins"/>
                <w:i/>
                <w:iCs/>
              </w:rPr>
              <w:t xml:space="preserve">re 11, can it be explained </w:t>
            </w:r>
            <w:r w:rsidR="00693A89">
              <w:rPr>
                <w:rFonts w:cs="Poppins"/>
                <w:i/>
                <w:iCs/>
              </w:rPr>
              <w:t>why project 1 no longer needs reinforcement, as it remains at the front of the queue</w:t>
            </w:r>
            <w:r w:rsidR="00E66E25">
              <w:rPr>
                <w:rFonts w:cs="Poppins"/>
                <w:i/>
                <w:iCs/>
              </w:rPr>
              <w:t>, and before it di</w:t>
            </w:r>
            <w:r w:rsidR="00DB7B30">
              <w:rPr>
                <w:rFonts w:cs="Poppins"/>
                <w:i/>
                <w:iCs/>
              </w:rPr>
              <w:t>d.</w:t>
            </w:r>
          </w:p>
          <w:p w14:paraId="1DE33BF0" w14:textId="1E819D5B" w:rsidR="00B85847" w:rsidRDefault="00E9750F" w:rsidP="006F247E">
            <w:pPr>
              <w:pStyle w:val="BodyText"/>
              <w:rPr>
                <w:rFonts w:cs="Poppins"/>
                <w:i/>
                <w:iCs/>
              </w:rPr>
            </w:pPr>
            <w:r>
              <w:rPr>
                <w:rFonts w:cs="Poppins"/>
                <w:i/>
                <w:iCs/>
              </w:rPr>
              <w:t xml:space="preserve">Section 5.21 </w:t>
            </w:r>
            <w:r w:rsidR="007E2B3C">
              <w:rPr>
                <w:rFonts w:cs="Poppins"/>
                <w:i/>
                <w:iCs/>
              </w:rPr>
              <w:t xml:space="preserve">the Reservations illustrated in </w:t>
            </w:r>
            <w:r w:rsidR="00495556">
              <w:rPr>
                <w:rFonts w:cs="Poppins"/>
                <w:i/>
                <w:iCs/>
              </w:rPr>
              <w:t xml:space="preserve">figure 12 all have pre-TMO4+ </w:t>
            </w:r>
            <w:r w:rsidR="00C72232">
              <w:rPr>
                <w:rFonts w:cs="Poppins"/>
                <w:i/>
                <w:iCs/>
              </w:rPr>
              <w:t>queue</w:t>
            </w:r>
            <w:r w:rsidR="00495556">
              <w:rPr>
                <w:rFonts w:cs="Poppins"/>
                <w:i/>
                <w:iCs/>
              </w:rPr>
              <w:t xml:space="preserve"> positions, can you clarify where a </w:t>
            </w:r>
            <w:r w:rsidR="008A4D83">
              <w:rPr>
                <w:rFonts w:cs="Poppins"/>
                <w:i/>
                <w:iCs/>
              </w:rPr>
              <w:t xml:space="preserve">non-project specific Reservation would fit in?  Do the onshore non-project specific Reservations take priority over the project specific </w:t>
            </w:r>
            <w:r w:rsidR="004A2D71">
              <w:rPr>
                <w:rFonts w:cs="Poppins"/>
                <w:i/>
                <w:iCs/>
              </w:rPr>
              <w:t xml:space="preserve">offshore </w:t>
            </w:r>
            <w:r w:rsidR="008A4D83">
              <w:rPr>
                <w:rFonts w:cs="Poppins"/>
                <w:i/>
                <w:iCs/>
              </w:rPr>
              <w:t>Reservation</w:t>
            </w:r>
            <w:r w:rsidR="004A2D71">
              <w:rPr>
                <w:rFonts w:cs="Poppins"/>
                <w:i/>
                <w:iCs/>
              </w:rPr>
              <w:t>s, or do they go at the end?</w:t>
            </w:r>
          </w:p>
          <w:p w14:paraId="25433410" w14:textId="78437C69" w:rsidR="00541D82" w:rsidRDefault="00541D82" w:rsidP="006F247E">
            <w:pPr>
              <w:pStyle w:val="BodyText"/>
              <w:rPr>
                <w:rFonts w:cs="Poppins"/>
                <w:i/>
                <w:iCs/>
              </w:rPr>
            </w:pPr>
            <w:r>
              <w:rPr>
                <w:rFonts w:cs="Poppins"/>
                <w:i/>
                <w:iCs/>
              </w:rPr>
              <w:t xml:space="preserve">Section </w:t>
            </w:r>
            <w:r w:rsidR="00A05F65">
              <w:rPr>
                <w:rFonts w:cs="Poppins"/>
                <w:i/>
                <w:iCs/>
              </w:rPr>
              <w:t xml:space="preserve">5.21.7 </w:t>
            </w:r>
            <w:r w:rsidR="00C72232">
              <w:rPr>
                <w:rFonts w:cs="Poppins"/>
                <w:i/>
                <w:iCs/>
              </w:rPr>
              <w:t>refers</w:t>
            </w:r>
            <w:r w:rsidR="00A05F65">
              <w:rPr>
                <w:rFonts w:cs="Poppins"/>
                <w:i/>
                <w:iCs/>
              </w:rPr>
              <w:t xml:space="preserve"> to a “separate process” for </w:t>
            </w:r>
            <w:r w:rsidR="00DA6683" w:rsidRPr="00DA6683">
              <w:rPr>
                <w:rFonts w:cs="Poppins"/>
                <w:i/>
                <w:iCs/>
              </w:rPr>
              <w:t>Offshore projects which are within scope of The Crown Estate and/or Crown Estate Scotland leasing rounds</w:t>
            </w:r>
            <w:r w:rsidR="00DA6683">
              <w:rPr>
                <w:rFonts w:cs="Poppins"/>
                <w:i/>
                <w:iCs/>
              </w:rPr>
              <w:t>, can NESO confirm what th</w:t>
            </w:r>
            <w:r w:rsidR="00CF2479">
              <w:rPr>
                <w:rFonts w:cs="Poppins"/>
                <w:i/>
                <w:iCs/>
              </w:rPr>
              <w:t>is</w:t>
            </w:r>
            <w:r w:rsidR="00DA6683">
              <w:rPr>
                <w:rFonts w:cs="Poppins"/>
                <w:i/>
                <w:iCs/>
              </w:rPr>
              <w:t xml:space="preserve"> </w:t>
            </w:r>
            <w:r w:rsidR="00CF2479">
              <w:rPr>
                <w:rFonts w:cs="Poppins"/>
                <w:i/>
                <w:iCs/>
              </w:rPr>
              <w:t>is and why?</w:t>
            </w:r>
            <w:r w:rsidR="008E76F9">
              <w:rPr>
                <w:rFonts w:cs="Poppins"/>
                <w:i/>
                <w:iCs/>
              </w:rPr>
              <w:t xml:space="preserve">  </w:t>
            </w:r>
          </w:p>
          <w:p w14:paraId="50B6F7AB" w14:textId="386A21D7" w:rsidR="009E5ED1" w:rsidRDefault="009E5ED1" w:rsidP="006F247E">
            <w:pPr>
              <w:pStyle w:val="BodyText"/>
              <w:rPr>
                <w:rFonts w:cs="Poppins"/>
                <w:i/>
                <w:iCs/>
              </w:rPr>
            </w:pPr>
            <w:r>
              <w:rPr>
                <w:rFonts w:cs="Poppins"/>
                <w:i/>
                <w:iCs/>
              </w:rPr>
              <w:t xml:space="preserve">Section </w:t>
            </w:r>
            <w:r w:rsidR="0028226B">
              <w:rPr>
                <w:rFonts w:cs="Poppins"/>
                <w:i/>
                <w:iCs/>
              </w:rPr>
              <w:t xml:space="preserve">7.2.5 notes that </w:t>
            </w:r>
            <w:r w:rsidR="003F4133">
              <w:rPr>
                <w:rFonts w:cs="Poppins"/>
                <w:i/>
                <w:iCs/>
              </w:rPr>
              <w:t>t</w:t>
            </w:r>
            <w:r w:rsidR="0028226B" w:rsidRPr="0028226B">
              <w:rPr>
                <w:rFonts w:cs="Poppins"/>
                <w:i/>
                <w:iCs/>
              </w:rPr>
              <w:t>he date the Gate 2 Readiness Criteria was met will be used in aligning the Gate 2 Tranche to the CP30 pathways</w:t>
            </w:r>
            <w:r w:rsidR="0028226B">
              <w:rPr>
                <w:rFonts w:cs="Poppins"/>
                <w:i/>
                <w:iCs/>
              </w:rPr>
              <w:t>.  Th</w:t>
            </w:r>
            <w:r w:rsidR="00D86991">
              <w:rPr>
                <w:rFonts w:cs="Poppins"/>
                <w:i/>
                <w:iCs/>
              </w:rPr>
              <w:t xml:space="preserve">e process for doing this is unclear including what date this </w:t>
            </w:r>
            <w:proofErr w:type="gramStart"/>
            <w:r w:rsidR="00D86991">
              <w:rPr>
                <w:rFonts w:cs="Poppins"/>
                <w:i/>
                <w:iCs/>
              </w:rPr>
              <w:t>actually means</w:t>
            </w:r>
            <w:proofErr w:type="gramEnd"/>
            <w:r w:rsidR="00D86991">
              <w:rPr>
                <w:rFonts w:cs="Poppins"/>
                <w:i/>
                <w:iCs/>
              </w:rPr>
              <w:t xml:space="preserve"> (for any </w:t>
            </w:r>
            <w:r w:rsidR="00A07465">
              <w:rPr>
                <w:rFonts w:cs="Poppins"/>
                <w:i/>
                <w:iCs/>
              </w:rPr>
              <w:t xml:space="preserve">redline boundary area, is it the first land secured, the </w:t>
            </w:r>
            <w:r w:rsidR="00C94A33">
              <w:rPr>
                <w:rFonts w:cs="Poppins"/>
                <w:i/>
                <w:iCs/>
              </w:rPr>
              <w:t>last</w:t>
            </w:r>
            <w:r w:rsidR="00A07465">
              <w:rPr>
                <w:rFonts w:cs="Poppins"/>
                <w:i/>
                <w:iCs/>
              </w:rPr>
              <w:t xml:space="preserve"> land secured, or some kind of </w:t>
            </w:r>
            <w:r w:rsidR="00271A29">
              <w:rPr>
                <w:rFonts w:cs="Poppins"/>
                <w:i/>
                <w:iCs/>
              </w:rPr>
              <w:t>weighted</w:t>
            </w:r>
            <w:r w:rsidR="00A07465">
              <w:rPr>
                <w:rFonts w:cs="Poppins"/>
                <w:i/>
                <w:iCs/>
              </w:rPr>
              <w:t xml:space="preserve"> average?  Where </w:t>
            </w:r>
            <w:r w:rsidR="00271A29">
              <w:rPr>
                <w:rFonts w:cs="Poppins"/>
                <w:i/>
                <w:iCs/>
              </w:rPr>
              <w:t>additional</w:t>
            </w:r>
            <w:r w:rsidR="00A07465">
              <w:rPr>
                <w:rFonts w:cs="Poppins"/>
                <w:i/>
                <w:iCs/>
              </w:rPr>
              <w:t xml:space="preserve"> land is added to the parcel</w:t>
            </w:r>
            <w:r w:rsidR="0026086A">
              <w:rPr>
                <w:rFonts w:cs="Poppins"/>
                <w:i/>
                <w:iCs/>
              </w:rPr>
              <w:t xml:space="preserve"> (as allowed, for up to 50% of installed </w:t>
            </w:r>
            <w:r w:rsidR="00271A29">
              <w:rPr>
                <w:rFonts w:cs="Poppins"/>
                <w:i/>
                <w:iCs/>
              </w:rPr>
              <w:t>capacity</w:t>
            </w:r>
            <w:r w:rsidR="0026086A">
              <w:rPr>
                <w:rFonts w:cs="Poppins"/>
                <w:i/>
                <w:iCs/>
              </w:rPr>
              <w:t xml:space="preserve">), does this </w:t>
            </w:r>
            <w:r w:rsidR="003C38C4">
              <w:rPr>
                <w:rFonts w:cs="Poppins"/>
                <w:i/>
                <w:iCs/>
              </w:rPr>
              <w:t>re</w:t>
            </w:r>
            <w:r w:rsidR="003F4133">
              <w:rPr>
                <w:rFonts w:cs="Poppins"/>
                <w:i/>
                <w:iCs/>
              </w:rPr>
              <w:t>tro</w:t>
            </w:r>
            <w:r w:rsidR="003C38C4">
              <w:rPr>
                <w:rFonts w:cs="Poppins"/>
                <w:i/>
                <w:iCs/>
              </w:rPr>
              <w:t>spectively</w:t>
            </w:r>
            <w:r w:rsidR="0026086A">
              <w:rPr>
                <w:rFonts w:cs="Poppins"/>
                <w:i/>
                <w:iCs/>
              </w:rPr>
              <w:t xml:space="preserve"> adjust the </w:t>
            </w:r>
            <w:r w:rsidR="00271A29">
              <w:rPr>
                <w:rFonts w:cs="Poppins"/>
                <w:i/>
                <w:iCs/>
              </w:rPr>
              <w:t>queue</w:t>
            </w:r>
            <w:r w:rsidR="0026086A">
              <w:rPr>
                <w:rFonts w:cs="Poppins"/>
                <w:i/>
                <w:iCs/>
              </w:rPr>
              <w:t xml:space="preserve"> position</w:t>
            </w:r>
            <w:r w:rsidR="00230338">
              <w:rPr>
                <w:rFonts w:cs="Poppins"/>
                <w:i/>
                <w:iCs/>
              </w:rPr>
              <w:t>?  Has NESO considered the admi</w:t>
            </w:r>
            <w:r w:rsidR="00271A29">
              <w:rPr>
                <w:rFonts w:cs="Poppins"/>
                <w:i/>
                <w:iCs/>
              </w:rPr>
              <w:t>nis</w:t>
            </w:r>
            <w:r w:rsidR="00230338">
              <w:rPr>
                <w:rFonts w:cs="Poppins"/>
                <w:i/>
                <w:iCs/>
              </w:rPr>
              <w:t>tr</w:t>
            </w:r>
            <w:r w:rsidR="00271A29">
              <w:rPr>
                <w:rFonts w:cs="Poppins"/>
                <w:i/>
                <w:iCs/>
              </w:rPr>
              <w:t>at</w:t>
            </w:r>
            <w:r w:rsidR="00230338">
              <w:rPr>
                <w:rFonts w:cs="Poppins"/>
                <w:i/>
                <w:iCs/>
              </w:rPr>
              <w:t xml:space="preserve">ive burden </w:t>
            </w:r>
            <w:r w:rsidR="00271A29">
              <w:rPr>
                <w:rFonts w:cs="Poppins"/>
                <w:i/>
                <w:iCs/>
              </w:rPr>
              <w:t>associated</w:t>
            </w:r>
            <w:r w:rsidR="00230338">
              <w:rPr>
                <w:rFonts w:cs="Poppins"/>
                <w:i/>
                <w:iCs/>
              </w:rPr>
              <w:t xml:space="preserve"> with </w:t>
            </w:r>
            <w:r w:rsidR="003C38C4">
              <w:rPr>
                <w:rFonts w:cs="Poppins"/>
                <w:i/>
                <w:iCs/>
              </w:rPr>
              <w:t>checking</w:t>
            </w:r>
            <w:r w:rsidR="00230338">
              <w:rPr>
                <w:rFonts w:cs="Poppins"/>
                <w:i/>
                <w:iCs/>
              </w:rPr>
              <w:t xml:space="preserve"> all the land pa</w:t>
            </w:r>
            <w:r w:rsidR="00713056">
              <w:rPr>
                <w:rFonts w:cs="Poppins"/>
                <w:i/>
                <w:iCs/>
              </w:rPr>
              <w:t>rcels in this way</w:t>
            </w:r>
            <w:r w:rsidR="00052727">
              <w:rPr>
                <w:rFonts w:cs="Poppins"/>
                <w:i/>
                <w:iCs/>
              </w:rPr>
              <w:t xml:space="preserve"> and/or</w:t>
            </w:r>
            <w:r w:rsidR="00B86EAE">
              <w:rPr>
                <w:rFonts w:cs="Poppins"/>
                <w:i/>
                <w:iCs/>
              </w:rPr>
              <w:t xml:space="preserve"> considered asking User</w:t>
            </w:r>
            <w:r w:rsidR="00052727">
              <w:rPr>
                <w:rFonts w:cs="Poppins"/>
                <w:i/>
                <w:iCs/>
              </w:rPr>
              <w:t>s</w:t>
            </w:r>
            <w:r w:rsidR="00B86EAE">
              <w:rPr>
                <w:rFonts w:cs="Poppins"/>
                <w:i/>
                <w:iCs/>
              </w:rPr>
              <w:t xml:space="preserve"> </w:t>
            </w:r>
            <w:r w:rsidR="00680064">
              <w:rPr>
                <w:rFonts w:cs="Poppins"/>
                <w:i/>
                <w:iCs/>
              </w:rPr>
              <w:t>to submit</w:t>
            </w:r>
            <w:r w:rsidR="00B86EAE">
              <w:rPr>
                <w:rFonts w:cs="Poppins"/>
                <w:i/>
                <w:iCs/>
              </w:rPr>
              <w:t xml:space="preserve"> the date as part of the Gate 2 </w:t>
            </w:r>
            <w:r w:rsidR="00271A29">
              <w:rPr>
                <w:rFonts w:cs="Poppins"/>
                <w:i/>
                <w:iCs/>
              </w:rPr>
              <w:t>application</w:t>
            </w:r>
            <w:r w:rsidR="00B86EAE">
              <w:rPr>
                <w:rFonts w:cs="Poppins"/>
                <w:i/>
                <w:iCs/>
              </w:rPr>
              <w:t>?</w:t>
            </w:r>
          </w:p>
          <w:p w14:paraId="0443D701" w14:textId="1BA7325B" w:rsidR="00052727" w:rsidRDefault="00052727" w:rsidP="00052727">
            <w:pPr>
              <w:pStyle w:val="BodyText"/>
              <w:rPr>
                <w:rFonts w:cs="Poppins"/>
                <w:i/>
                <w:iCs/>
              </w:rPr>
            </w:pPr>
            <w:r>
              <w:rPr>
                <w:rFonts w:cs="Poppins"/>
                <w:i/>
                <w:iCs/>
              </w:rPr>
              <w:t>Section 7</w:t>
            </w:r>
            <w:r w:rsidR="00280AAC">
              <w:rPr>
                <w:rFonts w:cs="Poppins"/>
                <w:i/>
                <w:iCs/>
              </w:rPr>
              <w:t>.10.2</w:t>
            </w:r>
            <w:r>
              <w:rPr>
                <w:rFonts w:cs="Poppins"/>
                <w:i/>
                <w:iCs/>
              </w:rPr>
              <w:t xml:space="preserve"> refers to a “separate process” for </w:t>
            </w:r>
            <w:r w:rsidRPr="00DA6683">
              <w:rPr>
                <w:rFonts w:cs="Poppins"/>
                <w:i/>
                <w:iCs/>
              </w:rPr>
              <w:t>Offshore projects which are within scope of The Crown Estate and/or Crown Estate Scotland leasing rounds</w:t>
            </w:r>
            <w:r>
              <w:rPr>
                <w:rFonts w:cs="Poppins"/>
                <w:i/>
                <w:iCs/>
              </w:rPr>
              <w:t xml:space="preserve">, can NESO confirm what this is and why?  </w:t>
            </w:r>
          </w:p>
          <w:p w14:paraId="773A3655" w14:textId="33D13BF0" w:rsidR="00BB73E9" w:rsidRPr="00406CA9" w:rsidRDefault="00BB73E9" w:rsidP="006F247E">
            <w:pPr>
              <w:pStyle w:val="BodyText"/>
              <w:rPr>
                <w:rFonts w:cs="Poppins"/>
                <w:i/>
                <w:iCs/>
              </w:rPr>
            </w:pPr>
          </w:p>
        </w:tc>
      </w:tr>
    </w:tbl>
    <w:p w14:paraId="23160851" w14:textId="77777777" w:rsidR="00F41116" w:rsidRDefault="00F41116" w:rsidP="00F41116">
      <w:pPr>
        <w:pStyle w:val="BodyText"/>
        <w:rPr>
          <w:rFonts w:cs="Poppins"/>
        </w:rPr>
      </w:pPr>
    </w:p>
    <w:tbl>
      <w:tblPr>
        <w:tblStyle w:val="TableGrid"/>
        <w:tblW w:w="0" w:type="auto"/>
        <w:tblLook w:val="04A0" w:firstRow="1" w:lastRow="0" w:firstColumn="1" w:lastColumn="0" w:noHBand="0" w:noVBand="1"/>
      </w:tblPr>
      <w:tblGrid>
        <w:gridCol w:w="9742"/>
      </w:tblGrid>
      <w:tr w:rsidR="00F41116" w:rsidRPr="00406CA9" w14:paraId="6C8F05AE" w14:textId="77777777">
        <w:tc>
          <w:tcPr>
            <w:tcW w:w="9742" w:type="dxa"/>
          </w:tcPr>
          <w:p w14:paraId="1F49C81F" w14:textId="32A8F83B" w:rsidR="00F41116" w:rsidRPr="00C07D83" w:rsidRDefault="00C07D83" w:rsidP="00C07D83">
            <w:pPr>
              <w:pStyle w:val="BodyText"/>
              <w:numPr>
                <w:ilvl w:val="0"/>
                <w:numId w:val="21"/>
              </w:numPr>
              <w:rPr>
                <w:rFonts w:cs="Poppins"/>
              </w:rPr>
            </w:pPr>
            <w:r w:rsidRPr="00C07D83">
              <w:rPr>
                <w:rFonts w:cs="Poppins"/>
              </w:rPr>
              <w:t>Do you agree with the approach to managing advancement requests?</w:t>
            </w:r>
          </w:p>
        </w:tc>
      </w:tr>
      <w:tr w:rsidR="00C07D83" w:rsidRPr="00406CA9" w14:paraId="2DF77A5B" w14:textId="77777777">
        <w:tc>
          <w:tcPr>
            <w:tcW w:w="9742" w:type="dxa"/>
          </w:tcPr>
          <w:p w14:paraId="59D28280" w14:textId="3806D9D1" w:rsidR="00566B15" w:rsidRDefault="00566B15" w:rsidP="00566B15">
            <w:pPr>
              <w:pStyle w:val="BodyText"/>
              <w:rPr>
                <w:rFonts w:cs="Poppins"/>
                <w:i/>
                <w:iCs/>
              </w:rPr>
            </w:pPr>
            <w:r>
              <w:rPr>
                <w:rFonts w:cs="Poppins"/>
                <w:i/>
                <w:iCs/>
              </w:rPr>
              <w:t xml:space="preserve">Yes in general, but </w:t>
            </w:r>
            <w:r w:rsidR="008275F0">
              <w:rPr>
                <w:rFonts w:cs="Poppins"/>
                <w:i/>
                <w:iCs/>
              </w:rPr>
              <w:t>my</w:t>
            </w:r>
            <w:r>
              <w:rPr>
                <w:rFonts w:cs="Poppins"/>
                <w:i/>
                <w:iCs/>
              </w:rPr>
              <w:t xml:space="preserve"> specific comments:</w:t>
            </w:r>
          </w:p>
          <w:p w14:paraId="7EFF94AC" w14:textId="32AC5926" w:rsidR="00C07D83" w:rsidRPr="00406CA9" w:rsidRDefault="00566B15" w:rsidP="00C07D83">
            <w:pPr>
              <w:pStyle w:val="BodyText"/>
              <w:rPr>
                <w:rFonts w:cs="Poppins"/>
                <w:i/>
                <w:iCs/>
              </w:rPr>
            </w:pPr>
            <w:r>
              <w:rPr>
                <w:rFonts w:cs="Poppins"/>
                <w:i/>
                <w:iCs/>
              </w:rPr>
              <w:t xml:space="preserve">Section 5.25.9, </w:t>
            </w:r>
            <w:r w:rsidR="00271A29">
              <w:rPr>
                <w:rFonts w:cs="Poppins"/>
                <w:i/>
                <w:iCs/>
              </w:rPr>
              <w:t>wh</w:t>
            </w:r>
            <w:r w:rsidR="00280AAC">
              <w:rPr>
                <w:rFonts w:cs="Poppins"/>
                <w:i/>
                <w:iCs/>
              </w:rPr>
              <w:t>y</w:t>
            </w:r>
            <w:r>
              <w:rPr>
                <w:rFonts w:cs="Poppins"/>
                <w:i/>
                <w:iCs/>
              </w:rPr>
              <w:t xml:space="preserve"> would not earlier advancement opportunities be discussed with the User, as the </w:t>
            </w:r>
            <w:r w:rsidR="00271A29">
              <w:rPr>
                <w:rFonts w:cs="Poppins"/>
                <w:i/>
                <w:iCs/>
              </w:rPr>
              <w:t>situation</w:t>
            </w:r>
            <w:r>
              <w:rPr>
                <w:rFonts w:cs="Poppins"/>
                <w:i/>
                <w:iCs/>
              </w:rPr>
              <w:t xml:space="preserve"> may have changed since the application for advancement was first made?  </w:t>
            </w:r>
            <w:r w:rsidR="00271A29">
              <w:rPr>
                <w:rFonts w:cs="Poppins"/>
                <w:i/>
                <w:iCs/>
              </w:rPr>
              <w:t>Equally</w:t>
            </w:r>
            <w:r>
              <w:rPr>
                <w:rFonts w:cs="Poppins"/>
                <w:i/>
                <w:iCs/>
              </w:rPr>
              <w:t xml:space="preserve"> in section 5.25.11, why be so prescriptive, there may be good reason</w:t>
            </w:r>
            <w:r w:rsidR="00280AAC">
              <w:rPr>
                <w:rFonts w:cs="Poppins"/>
                <w:i/>
                <w:iCs/>
              </w:rPr>
              <w:t>s</w:t>
            </w:r>
            <w:r>
              <w:rPr>
                <w:rFonts w:cs="Poppins"/>
                <w:i/>
                <w:iCs/>
              </w:rPr>
              <w:t xml:space="preserve"> to vary the date?</w:t>
            </w:r>
          </w:p>
        </w:tc>
      </w:tr>
    </w:tbl>
    <w:p w14:paraId="0A1DAFE2" w14:textId="77777777" w:rsidR="00F41116" w:rsidRDefault="00F41116" w:rsidP="00F41116">
      <w:pPr>
        <w:pStyle w:val="BodyText"/>
        <w:rPr>
          <w:rFonts w:cs="Poppins"/>
        </w:rPr>
      </w:pPr>
    </w:p>
    <w:tbl>
      <w:tblPr>
        <w:tblStyle w:val="TableGrid"/>
        <w:tblW w:w="0" w:type="auto"/>
        <w:tblLook w:val="04A0" w:firstRow="1" w:lastRow="0" w:firstColumn="1" w:lastColumn="0" w:noHBand="0" w:noVBand="1"/>
      </w:tblPr>
      <w:tblGrid>
        <w:gridCol w:w="9742"/>
      </w:tblGrid>
      <w:tr w:rsidR="00F41116" w:rsidRPr="00406CA9" w14:paraId="4EB68EBA" w14:textId="77777777">
        <w:tc>
          <w:tcPr>
            <w:tcW w:w="9742" w:type="dxa"/>
          </w:tcPr>
          <w:p w14:paraId="2FF114C5" w14:textId="0CBF6B50" w:rsidR="00F41116" w:rsidRPr="00C07D83" w:rsidRDefault="00C07D83" w:rsidP="00C07D83">
            <w:pPr>
              <w:pStyle w:val="BodyText"/>
              <w:numPr>
                <w:ilvl w:val="0"/>
                <w:numId w:val="21"/>
              </w:numPr>
              <w:rPr>
                <w:rFonts w:cs="Poppins"/>
              </w:rPr>
            </w:pPr>
            <w:r w:rsidRPr="00C07D83">
              <w:rPr>
                <w:rFonts w:cs="Poppins"/>
              </w:rPr>
              <w:t>Do you agree with the approach to reserving Connection Points and Capacity at Gate 1?</w:t>
            </w:r>
          </w:p>
        </w:tc>
      </w:tr>
      <w:tr w:rsidR="00F41116" w:rsidRPr="00406CA9" w14:paraId="1AC65CC4" w14:textId="77777777">
        <w:tc>
          <w:tcPr>
            <w:tcW w:w="9742" w:type="dxa"/>
          </w:tcPr>
          <w:p w14:paraId="0FD934AC" w14:textId="25D779D3" w:rsidR="00F41116" w:rsidRPr="00406CA9" w:rsidRDefault="0029516A">
            <w:pPr>
              <w:pStyle w:val="BodyText"/>
              <w:rPr>
                <w:rFonts w:cs="Poppins"/>
                <w:i/>
                <w:iCs/>
              </w:rPr>
            </w:pPr>
            <w:r>
              <w:rPr>
                <w:rFonts w:cs="Poppins"/>
                <w:i/>
                <w:iCs/>
              </w:rPr>
              <w:t>Not as written</w:t>
            </w:r>
            <w:r w:rsidR="00EA0E4A">
              <w:rPr>
                <w:rFonts w:cs="Poppins"/>
                <w:i/>
                <w:iCs/>
              </w:rPr>
              <w:t>,</w:t>
            </w:r>
            <w:r>
              <w:rPr>
                <w:rFonts w:cs="Poppins"/>
                <w:i/>
                <w:iCs/>
              </w:rPr>
              <w:t xml:space="preserve"> as it is unclear the basis on which many </w:t>
            </w:r>
            <w:r w:rsidR="00271A29">
              <w:rPr>
                <w:rFonts w:cs="Poppins"/>
                <w:i/>
                <w:iCs/>
              </w:rPr>
              <w:t>Reservations</w:t>
            </w:r>
            <w:r w:rsidR="00EA0E4A">
              <w:rPr>
                <w:rFonts w:cs="Poppins"/>
                <w:i/>
                <w:iCs/>
              </w:rPr>
              <w:t xml:space="preserve"> are made, that is</w:t>
            </w:r>
            <w:r w:rsidR="002021B3">
              <w:rPr>
                <w:rFonts w:cs="Poppins"/>
                <w:i/>
                <w:iCs/>
              </w:rPr>
              <w:t>,</w:t>
            </w:r>
            <w:r w:rsidR="00EA0E4A">
              <w:rPr>
                <w:rFonts w:cs="Poppins"/>
                <w:i/>
                <w:iCs/>
              </w:rPr>
              <w:t xml:space="preserve"> you have a non-</w:t>
            </w:r>
            <w:r w:rsidR="00123E6D">
              <w:rPr>
                <w:rFonts w:cs="Poppins"/>
                <w:i/>
                <w:iCs/>
              </w:rPr>
              <w:t>exclusive</w:t>
            </w:r>
            <w:r w:rsidR="00EA0E4A">
              <w:rPr>
                <w:rFonts w:cs="Poppins"/>
                <w:i/>
                <w:iCs/>
              </w:rPr>
              <w:t xml:space="preserve"> list of examples</w:t>
            </w:r>
            <w:r w:rsidR="002021B3">
              <w:rPr>
                <w:rFonts w:cs="Poppins"/>
                <w:i/>
                <w:iCs/>
              </w:rPr>
              <w:t xml:space="preserve">, no </w:t>
            </w:r>
            <w:r w:rsidR="00123E6D">
              <w:rPr>
                <w:rFonts w:cs="Poppins"/>
                <w:i/>
                <w:iCs/>
              </w:rPr>
              <w:t>process</w:t>
            </w:r>
            <w:r w:rsidR="002021B3">
              <w:rPr>
                <w:rFonts w:cs="Poppins"/>
                <w:i/>
                <w:iCs/>
              </w:rPr>
              <w:t xml:space="preserve"> for Users to put </w:t>
            </w:r>
            <w:r w:rsidR="003C38C4">
              <w:rPr>
                <w:rFonts w:cs="Poppins"/>
                <w:i/>
                <w:iCs/>
              </w:rPr>
              <w:t>themselves</w:t>
            </w:r>
            <w:r w:rsidR="002021B3">
              <w:rPr>
                <w:rFonts w:cs="Poppins"/>
                <w:i/>
                <w:iCs/>
              </w:rPr>
              <w:t xml:space="preserve"> forward for </w:t>
            </w:r>
            <w:r w:rsidR="00FE550E">
              <w:rPr>
                <w:rFonts w:cs="Poppins"/>
                <w:i/>
                <w:iCs/>
              </w:rPr>
              <w:t>Reservation</w:t>
            </w:r>
            <w:r w:rsidR="002021B3">
              <w:rPr>
                <w:rFonts w:cs="Poppins"/>
                <w:i/>
                <w:iCs/>
              </w:rPr>
              <w:t xml:space="preserve"> or </w:t>
            </w:r>
            <w:r w:rsidR="003C38C4">
              <w:rPr>
                <w:rFonts w:cs="Poppins"/>
                <w:i/>
                <w:iCs/>
              </w:rPr>
              <w:t>criteria</w:t>
            </w:r>
            <w:r w:rsidR="002021B3">
              <w:rPr>
                <w:rFonts w:cs="Poppins"/>
                <w:i/>
                <w:iCs/>
              </w:rPr>
              <w:t xml:space="preserve"> upon which it is assessed.</w:t>
            </w:r>
            <w:r w:rsidR="00CE417C">
              <w:rPr>
                <w:rFonts w:cs="Poppins"/>
                <w:i/>
                <w:iCs/>
              </w:rPr>
              <w:t xml:space="preserve">  </w:t>
            </w:r>
            <w:r w:rsidR="001B4282">
              <w:rPr>
                <w:rFonts w:cs="Poppins"/>
                <w:i/>
                <w:iCs/>
              </w:rPr>
              <w:t xml:space="preserve">The </w:t>
            </w:r>
            <w:r w:rsidR="003C38C4">
              <w:rPr>
                <w:rFonts w:cs="Poppins"/>
                <w:i/>
                <w:iCs/>
              </w:rPr>
              <w:t>drafting</w:t>
            </w:r>
            <w:r w:rsidR="001B4282">
              <w:rPr>
                <w:rFonts w:cs="Poppins"/>
                <w:i/>
                <w:iCs/>
              </w:rPr>
              <w:t xml:space="preserve"> uses various words to </w:t>
            </w:r>
            <w:r w:rsidR="00757A76">
              <w:rPr>
                <w:rFonts w:cs="Poppins"/>
                <w:i/>
                <w:iCs/>
              </w:rPr>
              <w:t>describe</w:t>
            </w:r>
            <w:r w:rsidR="001B4282">
              <w:rPr>
                <w:rFonts w:cs="Poppins"/>
                <w:i/>
                <w:iCs/>
              </w:rPr>
              <w:t xml:space="preserve"> the process in terms of “</w:t>
            </w:r>
            <w:r w:rsidR="00FE550E">
              <w:rPr>
                <w:rFonts w:cs="Poppins"/>
                <w:i/>
                <w:iCs/>
              </w:rPr>
              <w:t>suitable</w:t>
            </w:r>
            <w:r w:rsidR="001B4282">
              <w:rPr>
                <w:rFonts w:cs="Poppins"/>
                <w:i/>
                <w:iCs/>
              </w:rPr>
              <w:t xml:space="preserve"> for”</w:t>
            </w:r>
            <w:r w:rsidR="009468E3">
              <w:rPr>
                <w:rFonts w:cs="Poppins"/>
                <w:i/>
                <w:iCs/>
              </w:rPr>
              <w:t>,</w:t>
            </w:r>
            <w:r w:rsidR="001B4282">
              <w:rPr>
                <w:rFonts w:cs="Poppins"/>
                <w:i/>
                <w:iCs/>
              </w:rPr>
              <w:t xml:space="preserve"> “required for” </w:t>
            </w:r>
            <w:r w:rsidR="009468E3">
              <w:rPr>
                <w:rFonts w:cs="Poppins"/>
                <w:i/>
                <w:iCs/>
              </w:rPr>
              <w:t xml:space="preserve">and even “would benefit from”, making in entirely </w:t>
            </w:r>
            <w:r w:rsidR="00FE550E">
              <w:rPr>
                <w:rFonts w:cs="Poppins"/>
                <w:i/>
                <w:iCs/>
              </w:rPr>
              <w:t>unclear</w:t>
            </w:r>
            <w:r w:rsidR="009468E3">
              <w:rPr>
                <w:rFonts w:cs="Poppins"/>
                <w:i/>
                <w:iCs/>
              </w:rPr>
              <w:t xml:space="preserve"> what is the </w:t>
            </w:r>
            <w:r w:rsidR="00E479D5">
              <w:rPr>
                <w:rFonts w:cs="Poppins"/>
                <w:i/>
                <w:iCs/>
              </w:rPr>
              <w:t>intention</w:t>
            </w:r>
            <w:r w:rsidR="009468E3">
              <w:rPr>
                <w:rFonts w:cs="Poppins"/>
                <w:i/>
                <w:iCs/>
              </w:rPr>
              <w:t xml:space="preserve">.  </w:t>
            </w:r>
            <w:r w:rsidR="00CE417C">
              <w:rPr>
                <w:rFonts w:cs="Poppins"/>
                <w:i/>
                <w:iCs/>
              </w:rPr>
              <w:t xml:space="preserve">In </w:t>
            </w:r>
            <w:proofErr w:type="gramStart"/>
            <w:r w:rsidR="00CE417C">
              <w:rPr>
                <w:rFonts w:cs="Poppins"/>
                <w:i/>
                <w:iCs/>
              </w:rPr>
              <w:t>fact</w:t>
            </w:r>
            <w:proofErr w:type="gramEnd"/>
            <w:r w:rsidR="00CE417C">
              <w:rPr>
                <w:rFonts w:cs="Poppins"/>
                <w:i/>
                <w:iCs/>
              </w:rPr>
              <w:t xml:space="preserve"> this would seem to be a</w:t>
            </w:r>
            <w:r w:rsidR="00123E6D">
              <w:rPr>
                <w:rFonts w:cs="Poppins"/>
                <w:i/>
                <w:iCs/>
              </w:rPr>
              <w:t xml:space="preserve"> </w:t>
            </w:r>
            <w:r w:rsidR="00CE417C">
              <w:rPr>
                <w:rFonts w:cs="Poppins"/>
                <w:i/>
                <w:iCs/>
              </w:rPr>
              <w:t xml:space="preserve">process whereby large amounts of capacity, bays and </w:t>
            </w:r>
            <w:r w:rsidR="00E479D5">
              <w:rPr>
                <w:rFonts w:cs="Poppins"/>
                <w:i/>
                <w:iCs/>
              </w:rPr>
              <w:t>potentially</w:t>
            </w:r>
            <w:r w:rsidR="00CE417C">
              <w:rPr>
                <w:rFonts w:cs="Poppins"/>
                <w:i/>
                <w:iCs/>
              </w:rPr>
              <w:t xml:space="preserve"> substations could be reserved for </w:t>
            </w:r>
            <w:r w:rsidR="00E479D5">
              <w:rPr>
                <w:rFonts w:cs="Poppins"/>
                <w:i/>
                <w:iCs/>
              </w:rPr>
              <w:t>projects</w:t>
            </w:r>
            <w:r w:rsidR="00CE417C">
              <w:rPr>
                <w:rFonts w:cs="Poppins"/>
                <w:i/>
                <w:iCs/>
              </w:rPr>
              <w:t xml:space="preserve"> or </w:t>
            </w:r>
            <w:r w:rsidR="00CE417C">
              <w:rPr>
                <w:rFonts w:cs="Poppins"/>
                <w:i/>
                <w:iCs/>
              </w:rPr>
              <w:lastRenderedPageBreak/>
              <w:t xml:space="preserve">potential projects without any </w:t>
            </w:r>
            <w:r w:rsidR="00E479D5">
              <w:rPr>
                <w:rFonts w:cs="Poppins"/>
                <w:i/>
                <w:iCs/>
              </w:rPr>
              <w:t>visibility</w:t>
            </w:r>
            <w:r w:rsidR="00CE417C">
              <w:rPr>
                <w:rFonts w:cs="Poppins"/>
                <w:i/>
                <w:iCs/>
              </w:rPr>
              <w:t xml:space="preserve"> to </w:t>
            </w:r>
            <w:r w:rsidR="00123E6D">
              <w:rPr>
                <w:rFonts w:cs="Poppins"/>
                <w:i/>
                <w:iCs/>
              </w:rPr>
              <w:t>developers</w:t>
            </w:r>
            <w:r w:rsidR="009B7C6B">
              <w:rPr>
                <w:rFonts w:cs="Poppins"/>
                <w:i/>
                <w:iCs/>
              </w:rPr>
              <w:t>, which is likely to damage confidence in the fairness of the proposed arrangements</w:t>
            </w:r>
            <w:r w:rsidR="00123E6D">
              <w:rPr>
                <w:rFonts w:cs="Poppins"/>
                <w:i/>
                <w:iCs/>
              </w:rPr>
              <w:t xml:space="preserve">.  </w:t>
            </w:r>
          </w:p>
        </w:tc>
      </w:tr>
    </w:tbl>
    <w:p w14:paraId="46E17A1C" w14:textId="77777777" w:rsidR="00F41116" w:rsidRDefault="00F41116" w:rsidP="00F41116">
      <w:pPr>
        <w:pStyle w:val="BodyText"/>
        <w:rPr>
          <w:rFonts w:cs="Poppins"/>
        </w:rPr>
      </w:pPr>
    </w:p>
    <w:tbl>
      <w:tblPr>
        <w:tblStyle w:val="TableGrid"/>
        <w:tblW w:w="0" w:type="auto"/>
        <w:tblLook w:val="04A0" w:firstRow="1" w:lastRow="0" w:firstColumn="1" w:lastColumn="0" w:noHBand="0" w:noVBand="1"/>
      </w:tblPr>
      <w:tblGrid>
        <w:gridCol w:w="9742"/>
      </w:tblGrid>
      <w:tr w:rsidR="00F41116" w:rsidRPr="00E605CD" w14:paraId="1A723E2A" w14:textId="77777777">
        <w:tc>
          <w:tcPr>
            <w:tcW w:w="9742" w:type="dxa"/>
          </w:tcPr>
          <w:p w14:paraId="531652C5" w14:textId="79926C7C" w:rsidR="00F41116" w:rsidRPr="00C07D83" w:rsidRDefault="00C07D83" w:rsidP="00C07D83">
            <w:pPr>
              <w:pStyle w:val="BodyText"/>
              <w:numPr>
                <w:ilvl w:val="0"/>
                <w:numId w:val="21"/>
              </w:numPr>
              <w:rPr>
                <w:rFonts w:cs="Poppins"/>
              </w:rPr>
            </w:pPr>
            <w:r w:rsidRPr="00C07D83">
              <w:rPr>
                <w:rFonts w:cs="Poppins"/>
              </w:rPr>
              <w:t>Do you agree with the approaches to reallocating capacity when 2030 pathway projects and 2035 pathway projects exit the queue?</w:t>
            </w:r>
          </w:p>
        </w:tc>
      </w:tr>
      <w:tr w:rsidR="00F41116" w:rsidRPr="00406CA9" w14:paraId="7339FDD0" w14:textId="77777777">
        <w:tc>
          <w:tcPr>
            <w:tcW w:w="9742" w:type="dxa"/>
          </w:tcPr>
          <w:p w14:paraId="70C7E6D3" w14:textId="77777777" w:rsidR="008275F0" w:rsidRDefault="008275F0" w:rsidP="008275F0">
            <w:pPr>
              <w:pStyle w:val="BodyText"/>
              <w:rPr>
                <w:rFonts w:cs="Poppins"/>
                <w:i/>
                <w:iCs/>
              </w:rPr>
            </w:pPr>
            <w:r>
              <w:rPr>
                <w:rFonts w:cs="Poppins"/>
                <w:i/>
                <w:iCs/>
              </w:rPr>
              <w:t>Yes in general, but my specific comments:</w:t>
            </w:r>
          </w:p>
          <w:p w14:paraId="4B4C0609" w14:textId="6FF682CF" w:rsidR="008275F0" w:rsidRDefault="008275F0" w:rsidP="008275F0">
            <w:pPr>
              <w:pStyle w:val="BodyText"/>
              <w:rPr>
                <w:rFonts w:cs="Poppins"/>
                <w:i/>
                <w:iCs/>
              </w:rPr>
            </w:pPr>
            <w:r>
              <w:rPr>
                <w:rFonts w:cs="Poppins"/>
                <w:i/>
                <w:iCs/>
              </w:rPr>
              <w:t>Section 7.13.3 notes that “</w:t>
            </w:r>
            <w:r w:rsidRPr="00914A0A">
              <w:rPr>
                <w:rFonts w:cs="Poppins"/>
                <w:i/>
                <w:iCs/>
              </w:rPr>
              <w:t>Users may continue to request contestable assets for their connection under TMO4+ in accordance with the CUSC</w:t>
            </w:r>
            <w:r>
              <w:rPr>
                <w:rFonts w:cs="Poppins"/>
                <w:i/>
                <w:iCs/>
              </w:rPr>
              <w:t>” and that “</w:t>
            </w:r>
            <w:r w:rsidRPr="00914A0A">
              <w:rPr>
                <w:rFonts w:cs="Poppins"/>
                <w:i/>
                <w:iCs/>
              </w:rPr>
              <w:t>This request can be made upon</w:t>
            </w:r>
            <w:r>
              <w:rPr>
                <w:rFonts w:cs="Poppins"/>
                <w:i/>
                <w:iCs/>
              </w:rPr>
              <w:t xml:space="preserve"> </w:t>
            </w:r>
            <w:r w:rsidRPr="00914A0A">
              <w:rPr>
                <w:rFonts w:cs="Poppins"/>
                <w:i/>
                <w:iCs/>
              </w:rPr>
              <w:t>application to Gate 2, or application to Gate 1 where eligible for Connection Point and Capacity Reservation</w:t>
            </w:r>
            <w:r>
              <w:rPr>
                <w:rFonts w:cs="Poppins"/>
                <w:i/>
                <w:iCs/>
              </w:rPr>
              <w:t xml:space="preserve">”.  How will Users know if they are </w:t>
            </w:r>
            <w:r w:rsidRPr="00914A0A">
              <w:rPr>
                <w:rFonts w:cs="Poppins"/>
                <w:i/>
                <w:iCs/>
              </w:rPr>
              <w:t>eligible for Connection Point and Capacity Reservation</w:t>
            </w:r>
            <w:r>
              <w:rPr>
                <w:rFonts w:cs="Poppins"/>
                <w:i/>
                <w:iCs/>
              </w:rPr>
              <w:t>, this is not detailed in the Methodology</w:t>
            </w:r>
            <w:r w:rsidR="00FC3B69">
              <w:rPr>
                <w:rFonts w:cs="Poppins"/>
                <w:i/>
                <w:iCs/>
              </w:rPr>
              <w:t>?</w:t>
            </w:r>
          </w:p>
          <w:p w14:paraId="11B9D5CF" w14:textId="2F9686E3" w:rsidR="0042401A" w:rsidRDefault="0042401A">
            <w:pPr>
              <w:pStyle w:val="BodyText"/>
              <w:rPr>
                <w:rFonts w:cs="Poppins"/>
                <w:i/>
                <w:iCs/>
              </w:rPr>
            </w:pPr>
            <w:r>
              <w:rPr>
                <w:rFonts w:cs="Poppins"/>
                <w:i/>
                <w:iCs/>
              </w:rPr>
              <w:t xml:space="preserve">How are users going to signal their </w:t>
            </w:r>
            <w:r w:rsidR="00C4036A">
              <w:rPr>
                <w:rFonts w:cs="Poppins"/>
                <w:i/>
                <w:iCs/>
              </w:rPr>
              <w:t>interest in</w:t>
            </w:r>
            <w:r>
              <w:rPr>
                <w:rFonts w:cs="Poppins"/>
                <w:i/>
                <w:iCs/>
              </w:rPr>
              <w:t xml:space="preserve"> </w:t>
            </w:r>
            <w:r w:rsidR="003C38C4">
              <w:rPr>
                <w:rFonts w:cs="Poppins"/>
                <w:i/>
                <w:iCs/>
              </w:rPr>
              <w:t>advancement</w:t>
            </w:r>
            <w:r w:rsidR="00E479D5">
              <w:rPr>
                <w:rFonts w:cs="Poppins"/>
                <w:i/>
                <w:iCs/>
              </w:rPr>
              <w:t>,</w:t>
            </w:r>
            <w:r w:rsidR="005257E8">
              <w:rPr>
                <w:rFonts w:cs="Poppins"/>
                <w:i/>
                <w:iCs/>
              </w:rPr>
              <w:t xml:space="preserve"> as noted in </w:t>
            </w:r>
            <w:r w:rsidR="00E479D5">
              <w:rPr>
                <w:rFonts w:cs="Poppins"/>
                <w:i/>
                <w:iCs/>
              </w:rPr>
              <w:t>Section</w:t>
            </w:r>
            <w:r w:rsidR="005257E8">
              <w:rPr>
                <w:rFonts w:cs="Poppins"/>
                <w:i/>
                <w:iCs/>
              </w:rPr>
              <w:t xml:space="preserve"> 7.15.5?</w:t>
            </w:r>
          </w:p>
          <w:p w14:paraId="1D0C12CD" w14:textId="6333B411" w:rsidR="00F41116" w:rsidRPr="00406CA9" w:rsidRDefault="00C34D5B">
            <w:pPr>
              <w:pStyle w:val="BodyText"/>
              <w:rPr>
                <w:rFonts w:cs="Poppins"/>
                <w:i/>
                <w:iCs/>
              </w:rPr>
            </w:pPr>
            <w:r>
              <w:rPr>
                <w:rFonts w:cs="Poppins"/>
                <w:i/>
                <w:iCs/>
              </w:rPr>
              <w:t xml:space="preserve">Section 7.15.6 refers to the primary use for </w:t>
            </w:r>
            <w:r w:rsidR="00E479D5">
              <w:rPr>
                <w:rFonts w:cs="Poppins"/>
                <w:i/>
                <w:iCs/>
              </w:rPr>
              <w:t>capacity</w:t>
            </w:r>
            <w:r>
              <w:rPr>
                <w:rFonts w:cs="Poppins"/>
                <w:i/>
                <w:iCs/>
              </w:rPr>
              <w:t xml:space="preserve"> </w:t>
            </w:r>
            <w:r w:rsidR="00FE550E">
              <w:rPr>
                <w:rFonts w:cs="Poppins"/>
                <w:i/>
                <w:iCs/>
              </w:rPr>
              <w:t>reallocation</w:t>
            </w:r>
            <w:r>
              <w:rPr>
                <w:rFonts w:cs="Poppins"/>
                <w:i/>
                <w:iCs/>
              </w:rPr>
              <w:t xml:space="preserve">, can you </w:t>
            </w:r>
            <w:r w:rsidR="00E479D5">
              <w:rPr>
                <w:rFonts w:cs="Poppins"/>
                <w:i/>
                <w:iCs/>
              </w:rPr>
              <w:t>explain</w:t>
            </w:r>
            <w:r>
              <w:rPr>
                <w:rFonts w:cs="Poppins"/>
                <w:i/>
                <w:iCs/>
              </w:rPr>
              <w:t xml:space="preserve"> where else it </w:t>
            </w:r>
            <w:r w:rsidR="00E479D5">
              <w:rPr>
                <w:rFonts w:cs="Poppins"/>
                <w:i/>
                <w:iCs/>
              </w:rPr>
              <w:t>will</w:t>
            </w:r>
            <w:r>
              <w:rPr>
                <w:rFonts w:cs="Poppins"/>
                <w:i/>
                <w:iCs/>
              </w:rPr>
              <w:t xml:space="preserve"> be used</w:t>
            </w:r>
            <w:r w:rsidR="00BC19FC">
              <w:rPr>
                <w:rFonts w:cs="Poppins"/>
                <w:i/>
                <w:iCs/>
              </w:rPr>
              <w:t xml:space="preserve">.  Can you </w:t>
            </w:r>
            <w:r w:rsidR="00E479D5">
              <w:rPr>
                <w:rFonts w:cs="Poppins"/>
                <w:i/>
                <w:iCs/>
              </w:rPr>
              <w:t>expand</w:t>
            </w:r>
            <w:r w:rsidR="00BC19FC">
              <w:rPr>
                <w:rFonts w:cs="Poppins"/>
                <w:i/>
                <w:iCs/>
              </w:rPr>
              <w:t xml:space="preserve"> on what is meant by “limited circumstances” for 2035 pathways</w:t>
            </w:r>
            <w:r w:rsidR="00FC3B69">
              <w:rPr>
                <w:rFonts w:cs="Poppins"/>
                <w:i/>
                <w:iCs/>
              </w:rPr>
              <w:t>.</w:t>
            </w:r>
          </w:p>
        </w:tc>
      </w:tr>
    </w:tbl>
    <w:p w14:paraId="54D54F38" w14:textId="77777777" w:rsidR="00F41116" w:rsidRDefault="00F41116" w:rsidP="000E1DE7">
      <w:pPr>
        <w:pStyle w:val="BodyText"/>
        <w:rPr>
          <w:rFonts w:cs="Poppins"/>
          <w:b/>
          <w:bCs/>
        </w:rPr>
      </w:pPr>
    </w:p>
    <w:p w14:paraId="3A7B0129" w14:textId="32F5F99A" w:rsidR="00C07D83" w:rsidRDefault="00C07D83" w:rsidP="000E1DE7">
      <w:pPr>
        <w:pStyle w:val="BodyText"/>
        <w:rPr>
          <w:rFonts w:cs="Poppins"/>
          <w:b/>
          <w:bCs/>
        </w:rPr>
      </w:pPr>
      <w:r>
        <w:rPr>
          <w:rFonts w:cs="Poppins"/>
          <w:b/>
          <w:bCs/>
        </w:rPr>
        <w:t>Gate 2 Criteria</w:t>
      </w:r>
      <w:r w:rsidR="007B584B">
        <w:rPr>
          <w:rFonts w:cs="Poppins"/>
          <w:b/>
          <w:bCs/>
        </w:rPr>
        <w:t xml:space="preserve"> Methodology</w:t>
      </w:r>
    </w:p>
    <w:p w14:paraId="41D4373B" w14:textId="2E82BF1A" w:rsidR="007B584B" w:rsidRDefault="007B584B" w:rsidP="000E1DE7">
      <w:pPr>
        <w:pStyle w:val="BodyText"/>
        <w:rPr>
          <w:rFonts w:cs="Poppins"/>
          <w:b/>
          <w:bCs/>
        </w:rPr>
      </w:pPr>
      <w:r w:rsidRPr="00DE064B">
        <w:rPr>
          <w:rFonts w:cs="Poppins"/>
        </w:rPr>
        <w:t xml:space="preserve">You can find the relevant information </w:t>
      </w:r>
      <w:r>
        <w:rPr>
          <w:rFonts w:cs="Poppins"/>
        </w:rPr>
        <w:t>in the</w:t>
      </w:r>
      <w:r w:rsidRPr="00DE064B">
        <w:rPr>
          <w:rFonts w:cs="Poppins"/>
        </w:rPr>
        <w:t xml:space="preserve"> </w:t>
      </w:r>
      <w:hyperlink r:id="rId13" w:history="1">
        <w:r>
          <w:rPr>
            <w:rStyle w:val="Hyperlink"/>
            <w:rFonts w:cs="Poppins"/>
            <w:b/>
            <w:bCs/>
          </w:rPr>
          <w:t>Gate 2 Criteria Methodology- Detailed Document</w:t>
        </w:r>
      </w:hyperlink>
    </w:p>
    <w:tbl>
      <w:tblPr>
        <w:tblStyle w:val="TableGrid"/>
        <w:tblW w:w="0" w:type="auto"/>
        <w:tblLook w:val="04A0" w:firstRow="1" w:lastRow="0" w:firstColumn="1" w:lastColumn="0" w:noHBand="0" w:noVBand="1"/>
      </w:tblPr>
      <w:tblGrid>
        <w:gridCol w:w="9742"/>
      </w:tblGrid>
      <w:tr w:rsidR="00C07D83" w14:paraId="574F60BA" w14:textId="77777777">
        <w:tc>
          <w:tcPr>
            <w:tcW w:w="9742" w:type="dxa"/>
          </w:tcPr>
          <w:p w14:paraId="4E3DFC76" w14:textId="50BB51CF" w:rsidR="00DE064B" w:rsidRDefault="00DE064B" w:rsidP="00DE064B">
            <w:pPr>
              <w:pStyle w:val="BodyText"/>
              <w:numPr>
                <w:ilvl w:val="0"/>
                <w:numId w:val="21"/>
              </w:numPr>
              <w:rPr>
                <w:rFonts w:cs="Poppins"/>
              </w:rPr>
            </w:pPr>
            <w:r w:rsidRPr="00DE064B">
              <w:rPr>
                <w:rFonts w:cs="Poppins"/>
              </w:rPr>
              <w:t>Do you agree with the following elements of this Gate 2 Criteria Methodology?</w:t>
            </w:r>
          </w:p>
          <w:p w14:paraId="4CD13C3F" w14:textId="2271F97A" w:rsidR="00DE064B" w:rsidRPr="00DE064B" w:rsidRDefault="00DE064B" w:rsidP="00DE064B">
            <w:pPr>
              <w:pStyle w:val="BodyText"/>
              <w:numPr>
                <w:ilvl w:val="1"/>
                <w:numId w:val="21"/>
              </w:numPr>
              <w:rPr>
                <w:rFonts w:cs="Poppins"/>
              </w:rPr>
            </w:pPr>
            <w:r w:rsidRPr="00DE064B">
              <w:rPr>
                <w:rFonts w:cs="Poppins"/>
              </w:rPr>
              <w:t>Gate 2 Readiness Criteria – Land</w:t>
            </w:r>
            <w:r>
              <w:rPr>
                <w:rFonts w:cs="Poppins"/>
              </w:rPr>
              <w:t xml:space="preserve"> (Chapter 4)</w:t>
            </w:r>
          </w:p>
          <w:p w14:paraId="12010B7D" w14:textId="07B6900D" w:rsidR="00DE064B" w:rsidRPr="00DE064B" w:rsidRDefault="00DE064B" w:rsidP="00DE064B">
            <w:pPr>
              <w:pStyle w:val="BodyText"/>
              <w:numPr>
                <w:ilvl w:val="1"/>
                <w:numId w:val="21"/>
              </w:numPr>
              <w:rPr>
                <w:rFonts w:cs="Poppins"/>
              </w:rPr>
            </w:pPr>
            <w:r w:rsidRPr="00DE064B">
              <w:rPr>
                <w:rFonts w:cs="Poppins"/>
              </w:rPr>
              <w:t>Gate 2 Readiness Criteria – Planning</w:t>
            </w:r>
            <w:r>
              <w:rPr>
                <w:rFonts w:cs="Poppins"/>
              </w:rPr>
              <w:t xml:space="preserve"> (Chapter 5)</w:t>
            </w:r>
          </w:p>
          <w:p w14:paraId="4D2282A4" w14:textId="2039AA3E" w:rsidR="00DE064B" w:rsidRPr="00DE064B" w:rsidRDefault="00DE064B" w:rsidP="00DE064B">
            <w:pPr>
              <w:pStyle w:val="BodyText"/>
              <w:numPr>
                <w:ilvl w:val="1"/>
                <w:numId w:val="21"/>
              </w:numPr>
              <w:rPr>
                <w:rFonts w:cs="Poppins"/>
              </w:rPr>
            </w:pPr>
            <w:r w:rsidRPr="00DE064B">
              <w:rPr>
                <w:rFonts w:cs="Poppins"/>
              </w:rPr>
              <w:t xml:space="preserve">Gate 2 Criteria Evidence assessment </w:t>
            </w:r>
            <w:r>
              <w:rPr>
                <w:rFonts w:cs="Poppins"/>
              </w:rPr>
              <w:t>(Chapter 8)</w:t>
            </w:r>
          </w:p>
          <w:p w14:paraId="37F1EE4A" w14:textId="588D0305" w:rsidR="00C07D83" w:rsidRPr="00DE064B" w:rsidRDefault="00DE064B" w:rsidP="00DE064B">
            <w:pPr>
              <w:pStyle w:val="BodyText"/>
              <w:numPr>
                <w:ilvl w:val="1"/>
                <w:numId w:val="21"/>
              </w:numPr>
              <w:rPr>
                <w:rFonts w:cs="Poppins"/>
              </w:rPr>
            </w:pPr>
            <w:r w:rsidRPr="00DE064B">
              <w:rPr>
                <w:rFonts w:cs="Poppins"/>
              </w:rPr>
              <w:t>Self-Declaration Templates</w:t>
            </w:r>
            <w:r>
              <w:rPr>
                <w:rFonts w:cs="Poppins"/>
              </w:rPr>
              <w:t xml:space="preserve"> (Chapter 9)</w:t>
            </w:r>
          </w:p>
        </w:tc>
      </w:tr>
      <w:tr w:rsidR="00C07D83" w14:paraId="53D84D36" w14:textId="77777777">
        <w:tc>
          <w:tcPr>
            <w:tcW w:w="9742" w:type="dxa"/>
          </w:tcPr>
          <w:p w14:paraId="56CFCEF2" w14:textId="77777777" w:rsidR="00C07D83" w:rsidRDefault="00DE064B">
            <w:pPr>
              <w:pStyle w:val="BodyText"/>
              <w:rPr>
                <w:rFonts w:cs="Poppins"/>
                <w:i/>
                <w:iCs/>
              </w:rPr>
            </w:pPr>
            <w:r>
              <w:rPr>
                <w:rFonts w:cs="Poppins"/>
                <w:i/>
                <w:iCs/>
              </w:rPr>
              <w:t>a).</w:t>
            </w:r>
            <w:r w:rsidR="00EF6F01">
              <w:rPr>
                <w:rFonts w:cs="Poppins"/>
                <w:i/>
                <w:iCs/>
              </w:rPr>
              <w:t xml:space="preserve"> Yes.</w:t>
            </w:r>
          </w:p>
          <w:p w14:paraId="619CB4FE" w14:textId="39AEDD6A" w:rsidR="00EF6F01" w:rsidRPr="00406CA9" w:rsidRDefault="00EF6F01">
            <w:pPr>
              <w:pStyle w:val="BodyText"/>
              <w:rPr>
                <w:rFonts w:cs="Poppins"/>
                <w:i/>
                <w:iCs/>
              </w:rPr>
            </w:pPr>
          </w:p>
        </w:tc>
      </w:tr>
      <w:tr w:rsidR="00DE064B" w14:paraId="38E9D0DD" w14:textId="77777777">
        <w:tc>
          <w:tcPr>
            <w:tcW w:w="9742" w:type="dxa"/>
          </w:tcPr>
          <w:p w14:paraId="7EEF989D" w14:textId="678F653F" w:rsidR="00DE064B" w:rsidRDefault="00DE064B">
            <w:pPr>
              <w:pStyle w:val="BodyText"/>
              <w:rPr>
                <w:rFonts w:cs="Poppins"/>
                <w:i/>
                <w:iCs/>
              </w:rPr>
            </w:pPr>
            <w:r>
              <w:rPr>
                <w:rFonts w:cs="Poppins"/>
                <w:i/>
                <w:iCs/>
              </w:rPr>
              <w:t>b).</w:t>
            </w:r>
            <w:r w:rsidR="00BC4B00">
              <w:rPr>
                <w:rFonts w:cs="Poppins"/>
                <w:i/>
                <w:iCs/>
              </w:rPr>
              <w:t xml:space="preserve"> </w:t>
            </w:r>
            <w:proofErr w:type="gramStart"/>
            <w:r w:rsidR="00BC4B00">
              <w:rPr>
                <w:rFonts w:cs="Poppins"/>
                <w:i/>
                <w:iCs/>
              </w:rPr>
              <w:t>Yes</w:t>
            </w:r>
            <w:proofErr w:type="gramEnd"/>
            <w:r w:rsidR="00BC4B00">
              <w:rPr>
                <w:rFonts w:cs="Poppins"/>
                <w:i/>
                <w:iCs/>
              </w:rPr>
              <w:t xml:space="preserve"> in principle but it needs to be clarified that </w:t>
            </w:r>
            <w:r w:rsidR="00622433">
              <w:rPr>
                <w:rFonts w:cs="Poppins"/>
                <w:i/>
                <w:iCs/>
              </w:rPr>
              <w:t xml:space="preserve">NESO’s intention is that </w:t>
            </w:r>
            <w:r w:rsidR="005B0432">
              <w:rPr>
                <w:rFonts w:cs="Poppins"/>
                <w:i/>
                <w:iCs/>
              </w:rPr>
              <w:t xml:space="preserve">Users following this option will need to </w:t>
            </w:r>
            <w:r w:rsidR="00C4036A">
              <w:rPr>
                <w:rFonts w:cs="Poppins"/>
                <w:i/>
                <w:iCs/>
              </w:rPr>
              <w:t>provide</w:t>
            </w:r>
            <w:r w:rsidR="005B0432">
              <w:rPr>
                <w:rFonts w:cs="Poppins"/>
                <w:i/>
                <w:iCs/>
              </w:rPr>
              <w:t xml:space="preserve"> a Red Line Boundary when </w:t>
            </w:r>
            <w:r w:rsidR="00A75E18">
              <w:rPr>
                <w:rFonts w:cs="Poppins"/>
                <w:i/>
                <w:iCs/>
              </w:rPr>
              <w:t xml:space="preserve">confirming that they have </w:t>
            </w:r>
            <w:r w:rsidR="0012715A">
              <w:rPr>
                <w:rFonts w:cs="Poppins"/>
                <w:i/>
                <w:iCs/>
              </w:rPr>
              <w:t>achieved</w:t>
            </w:r>
            <w:r w:rsidR="00A75E18">
              <w:rPr>
                <w:rFonts w:cs="Poppins"/>
                <w:i/>
                <w:iCs/>
              </w:rPr>
              <w:t xml:space="preserve"> </w:t>
            </w:r>
            <w:r w:rsidR="005C295A">
              <w:rPr>
                <w:rFonts w:cs="Poppins"/>
                <w:i/>
                <w:iCs/>
              </w:rPr>
              <w:t xml:space="preserve">planning (milestone M2).  </w:t>
            </w:r>
            <w:r w:rsidR="00622433">
              <w:rPr>
                <w:rFonts w:cs="Poppins"/>
                <w:i/>
                <w:iCs/>
              </w:rPr>
              <w:t xml:space="preserve">If this really is the case there seems to be a bit of a disconnect, since the User will only </w:t>
            </w:r>
            <w:r w:rsidR="0012715A">
              <w:rPr>
                <w:rFonts w:cs="Poppins"/>
                <w:i/>
                <w:iCs/>
              </w:rPr>
              <w:t>acquire</w:t>
            </w:r>
            <w:r w:rsidR="00622433">
              <w:rPr>
                <w:rFonts w:cs="Poppins"/>
                <w:i/>
                <w:iCs/>
              </w:rPr>
              <w:t xml:space="preserve"> the </w:t>
            </w:r>
            <w:r w:rsidR="0012715A">
              <w:rPr>
                <w:rFonts w:cs="Poppins"/>
                <w:i/>
                <w:iCs/>
              </w:rPr>
              <w:t>compulsory</w:t>
            </w:r>
            <w:r w:rsidR="00622433">
              <w:rPr>
                <w:rFonts w:cs="Poppins"/>
                <w:i/>
                <w:iCs/>
              </w:rPr>
              <w:t xml:space="preserve"> acquisi</w:t>
            </w:r>
            <w:r w:rsidR="0012715A">
              <w:rPr>
                <w:rFonts w:cs="Poppins"/>
                <w:i/>
                <w:iCs/>
              </w:rPr>
              <w:t>ti</w:t>
            </w:r>
            <w:r w:rsidR="00622433">
              <w:rPr>
                <w:rFonts w:cs="Poppins"/>
                <w:i/>
                <w:iCs/>
              </w:rPr>
              <w:t xml:space="preserve">on rights upon grant of the consent, and </w:t>
            </w:r>
            <w:proofErr w:type="gramStart"/>
            <w:r w:rsidR="0012715A">
              <w:rPr>
                <w:rFonts w:cs="Poppins"/>
                <w:i/>
                <w:iCs/>
              </w:rPr>
              <w:t>actually securing</w:t>
            </w:r>
            <w:proofErr w:type="gramEnd"/>
            <w:r w:rsidR="0012715A">
              <w:rPr>
                <w:rFonts w:cs="Poppins"/>
                <w:i/>
                <w:iCs/>
              </w:rPr>
              <w:t xml:space="preserve"> the land will take some time if following this route</w:t>
            </w:r>
            <w:r w:rsidR="004F36B9">
              <w:rPr>
                <w:rFonts w:cs="Poppins"/>
                <w:i/>
                <w:iCs/>
              </w:rPr>
              <w:t xml:space="preserve"> (potentially several years)</w:t>
            </w:r>
            <w:r w:rsidR="0012715A">
              <w:rPr>
                <w:rFonts w:cs="Poppins"/>
                <w:i/>
                <w:iCs/>
              </w:rPr>
              <w:t>.</w:t>
            </w:r>
            <w:r w:rsidR="004F36B9">
              <w:rPr>
                <w:rFonts w:cs="Poppins"/>
                <w:i/>
                <w:iCs/>
              </w:rPr>
              <w:t xml:space="preserve">  Users in this position might be better served persuading NESO to Reserve the capacity for them at Gate 1 and then secure the land</w:t>
            </w:r>
            <w:r w:rsidR="007D4C6B">
              <w:rPr>
                <w:rFonts w:cs="Poppins"/>
                <w:i/>
                <w:iCs/>
              </w:rPr>
              <w:t xml:space="preserve"> in due course (using compulsory acquisition if necessary).  However as noted elsewhere it is </w:t>
            </w:r>
            <w:r w:rsidR="00160A63">
              <w:rPr>
                <w:rFonts w:cs="Poppins"/>
                <w:i/>
                <w:iCs/>
              </w:rPr>
              <w:t>unclear</w:t>
            </w:r>
            <w:r w:rsidR="007D4C6B">
              <w:rPr>
                <w:rFonts w:cs="Poppins"/>
                <w:i/>
                <w:iCs/>
              </w:rPr>
              <w:t xml:space="preserve"> how Reservation </w:t>
            </w:r>
            <w:proofErr w:type="gramStart"/>
            <w:r w:rsidR="007D4C6B">
              <w:rPr>
                <w:rFonts w:cs="Poppins"/>
                <w:i/>
                <w:iCs/>
              </w:rPr>
              <w:t>actually works</w:t>
            </w:r>
            <w:proofErr w:type="gramEnd"/>
            <w:r w:rsidR="007D4C6B">
              <w:rPr>
                <w:rFonts w:cs="Poppins"/>
                <w:i/>
                <w:iCs/>
              </w:rPr>
              <w:t xml:space="preserve"> in </w:t>
            </w:r>
            <w:r w:rsidR="00160A63">
              <w:rPr>
                <w:rFonts w:cs="Poppins"/>
                <w:i/>
                <w:iCs/>
              </w:rPr>
              <w:t>practice.</w:t>
            </w:r>
          </w:p>
          <w:p w14:paraId="6119E16C" w14:textId="6C4CB1E2" w:rsidR="00EF6F01" w:rsidRDefault="00EF6F01">
            <w:pPr>
              <w:pStyle w:val="BodyText"/>
              <w:rPr>
                <w:rFonts w:cs="Poppins"/>
                <w:i/>
                <w:iCs/>
              </w:rPr>
            </w:pPr>
          </w:p>
        </w:tc>
      </w:tr>
      <w:tr w:rsidR="00DE064B" w14:paraId="7D324621" w14:textId="77777777">
        <w:tc>
          <w:tcPr>
            <w:tcW w:w="9742" w:type="dxa"/>
          </w:tcPr>
          <w:p w14:paraId="68B6A044" w14:textId="62FE8260" w:rsidR="000F21B6" w:rsidRDefault="00DE064B" w:rsidP="000F21B6">
            <w:pPr>
              <w:pStyle w:val="BodyText"/>
              <w:rPr>
                <w:rFonts w:cs="Poppins"/>
                <w:i/>
                <w:iCs/>
              </w:rPr>
            </w:pPr>
            <w:r>
              <w:rPr>
                <w:rFonts w:cs="Poppins"/>
                <w:i/>
                <w:iCs/>
              </w:rPr>
              <w:t>c).</w:t>
            </w:r>
            <w:r w:rsidR="000F21B6">
              <w:rPr>
                <w:rFonts w:cs="Poppins"/>
                <w:i/>
                <w:iCs/>
              </w:rPr>
              <w:t xml:space="preserve"> Yes, but in section 8.13, at the penultimate bullet, please clarify how NESO or the DNO/IDNO can confirm if the signatory is “authorised to sign”?  Will they check the constitution of </w:t>
            </w:r>
            <w:r w:rsidR="00A4104B">
              <w:rPr>
                <w:rFonts w:cs="Poppins"/>
                <w:i/>
                <w:iCs/>
              </w:rPr>
              <w:t>the</w:t>
            </w:r>
            <w:r w:rsidR="000F21B6">
              <w:rPr>
                <w:rFonts w:cs="Poppins"/>
                <w:i/>
                <w:iCs/>
              </w:rPr>
              <w:t xml:space="preserve"> compan</w:t>
            </w:r>
            <w:r w:rsidR="00A4104B">
              <w:rPr>
                <w:rFonts w:cs="Poppins"/>
                <w:i/>
                <w:iCs/>
              </w:rPr>
              <w:t>y</w:t>
            </w:r>
            <w:r w:rsidR="000F21B6">
              <w:rPr>
                <w:rFonts w:cs="Poppins"/>
                <w:i/>
                <w:iCs/>
              </w:rPr>
              <w:t xml:space="preserve">, previous board minutes etc?  Surely it is only evidence that someone purporting to be authorized has signed, it will be impossible to </w:t>
            </w:r>
            <w:proofErr w:type="gramStart"/>
            <w:r w:rsidR="000F21B6">
              <w:rPr>
                <w:rFonts w:cs="Poppins"/>
                <w:i/>
                <w:iCs/>
              </w:rPr>
              <w:t>actually check</w:t>
            </w:r>
            <w:proofErr w:type="gramEnd"/>
            <w:r w:rsidR="000D19DD">
              <w:rPr>
                <w:rFonts w:cs="Poppins"/>
                <w:i/>
                <w:iCs/>
              </w:rPr>
              <w:t xml:space="preserve"> their authority</w:t>
            </w:r>
            <w:r w:rsidR="000F21B6">
              <w:rPr>
                <w:rFonts w:cs="Poppins"/>
                <w:i/>
                <w:iCs/>
              </w:rPr>
              <w:t xml:space="preserve"> (and from a legal perspective it may not matter anyway)</w:t>
            </w:r>
            <w:r w:rsidR="000D19DD">
              <w:rPr>
                <w:rFonts w:cs="Poppins"/>
                <w:i/>
                <w:iCs/>
              </w:rPr>
              <w:t>.</w:t>
            </w:r>
          </w:p>
          <w:p w14:paraId="766E369E" w14:textId="412F2F56" w:rsidR="00DE064B" w:rsidRDefault="00DE064B">
            <w:pPr>
              <w:pStyle w:val="BodyText"/>
              <w:rPr>
                <w:rFonts w:cs="Poppins"/>
                <w:i/>
                <w:iCs/>
              </w:rPr>
            </w:pPr>
          </w:p>
        </w:tc>
      </w:tr>
      <w:tr w:rsidR="00DE064B" w14:paraId="053FBA80" w14:textId="77777777">
        <w:tc>
          <w:tcPr>
            <w:tcW w:w="9742" w:type="dxa"/>
          </w:tcPr>
          <w:p w14:paraId="40928A76" w14:textId="15C0DAB0" w:rsidR="00790BCC" w:rsidRDefault="00DE064B" w:rsidP="00790BCC">
            <w:pPr>
              <w:pStyle w:val="BodyText"/>
              <w:rPr>
                <w:rFonts w:cs="Poppins"/>
                <w:i/>
                <w:iCs/>
              </w:rPr>
            </w:pPr>
            <w:r>
              <w:rPr>
                <w:rFonts w:cs="Poppins"/>
                <w:i/>
                <w:iCs/>
              </w:rPr>
              <w:lastRenderedPageBreak/>
              <w:t>d).</w:t>
            </w:r>
            <w:r w:rsidR="00790BCC">
              <w:rPr>
                <w:rFonts w:cs="Poppins"/>
                <w:i/>
                <w:iCs/>
              </w:rPr>
              <w:t xml:space="preserve"> Yes, but it is suggested that in sections 9.1 and 9.2 after “explain any known overlaps” add “and reasons why land density is different</w:t>
            </w:r>
            <w:r w:rsidR="000D19DD">
              <w:rPr>
                <w:rFonts w:cs="Poppins"/>
                <w:i/>
                <w:iCs/>
              </w:rPr>
              <w:t xml:space="preserve"> from the Guidance</w:t>
            </w:r>
            <w:r w:rsidR="00790BCC">
              <w:rPr>
                <w:rFonts w:cs="Poppins"/>
                <w:i/>
                <w:iCs/>
              </w:rPr>
              <w:t>”.</w:t>
            </w:r>
          </w:p>
          <w:p w14:paraId="50D69A99" w14:textId="5DFC502B" w:rsidR="00790BCC" w:rsidRDefault="00790BCC" w:rsidP="00790BCC">
            <w:pPr>
              <w:pStyle w:val="BodyText"/>
              <w:rPr>
                <w:rFonts w:cs="Poppins"/>
                <w:i/>
                <w:iCs/>
              </w:rPr>
            </w:pPr>
            <w:r>
              <w:rPr>
                <w:rFonts w:cs="Poppins"/>
                <w:i/>
                <w:iCs/>
              </w:rPr>
              <w:t>A</w:t>
            </w:r>
            <w:r w:rsidR="00BD7F07">
              <w:rPr>
                <w:rFonts w:cs="Poppins"/>
                <w:i/>
                <w:iCs/>
              </w:rPr>
              <w:t>lso a</w:t>
            </w:r>
            <w:r>
              <w:rPr>
                <w:rFonts w:cs="Poppins"/>
                <w:i/>
                <w:iCs/>
              </w:rPr>
              <w:t xml:space="preserve">dd </w:t>
            </w:r>
            <w:r w:rsidR="00BD7F07">
              <w:rPr>
                <w:rFonts w:cs="Poppins"/>
                <w:i/>
                <w:iCs/>
              </w:rPr>
              <w:t xml:space="preserve">a space for applicants to confirm </w:t>
            </w:r>
            <w:r>
              <w:rPr>
                <w:rFonts w:cs="Poppins"/>
                <w:i/>
                <w:iCs/>
              </w:rPr>
              <w:t>the date the land was secured</w:t>
            </w:r>
            <w:r w:rsidR="00BD7F07">
              <w:rPr>
                <w:rFonts w:cs="Poppins"/>
                <w:i/>
                <w:iCs/>
              </w:rPr>
              <w:t>.</w:t>
            </w:r>
          </w:p>
          <w:p w14:paraId="011106D5" w14:textId="53F5AF3B" w:rsidR="00DE064B" w:rsidRDefault="00DE064B" w:rsidP="001472A4">
            <w:pPr>
              <w:pStyle w:val="BodyText"/>
              <w:rPr>
                <w:rFonts w:cs="Poppins"/>
                <w:i/>
                <w:iCs/>
              </w:rPr>
            </w:pPr>
          </w:p>
        </w:tc>
      </w:tr>
    </w:tbl>
    <w:p w14:paraId="2C1701C3" w14:textId="77777777" w:rsidR="00C07D83" w:rsidRDefault="00C07D83" w:rsidP="00C07D83">
      <w:pPr>
        <w:pStyle w:val="BodyText"/>
        <w:rPr>
          <w:rFonts w:cs="Poppins"/>
        </w:rPr>
      </w:pPr>
    </w:p>
    <w:tbl>
      <w:tblPr>
        <w:tblStyle w:val="TableGrid"/>
        <w:tblW w:w="0" w:type="auto"/>
        <w:tblLook w:val="04A0" w:firstRow="1" w:lastRow="0" w:firstColumn="1" w:lastColumn="0" w:noHBand="0" w:noVBand="1"/>
      </w:tblPr>
      <w:tblGrid>
        <w:gridCol w:w="9742"/>
      </w:tblGrid>
      <w:tr w:rsidR="00C07D83" w:rsidRPr="00406CA9" w14:paraId="0CC0A7BD" w14:textId="77777777">
        <w:tc>
          <w:tcPr>
            <w:tcW w:w="9742" w:type="dxa"/>
          </w:tcPr>
          <w:p w14:paraId="09AB53F6" w14:textId="4A1CCD87" w:rsidR="00C07D83" w:rsidRPr="00DE064B" w:rsidRDefault="00DE064B" w:rsidP="00DE064B">
            <w:pPr>
              <w:pStyle w:val="BodyText"/>
              <w:numPr>
                <w:ilvl w:val="0"/>
                <w:numId w:val="21"/>
              </w:numPr>
              <w:rPr>
                <w:rFonts w:cs="Poppins"/>
              </w:rPr>
            </w:pPr>
            <w:r w:rsidRPr="00DE064B">
              <w:rPr>
                <w:rFonts w:cs="Poppins"/>
              </w:rPr>
              <w:t xml:space="preserve">Do you agree that the alternative route of meeting the Gate 2 Readiness Criteria should be only limited to projects that seek planning consent through the Development Consent Order route? </w:t>
            </w:r>
          </w:p>
        </w:tc>
      </w:tr>
      <w:tr w:rsidR="00DE064B" w:rsidRPr="00406CA9" w14:paraId="298D6DB6" w14:textId="77777777">
        <w:tc>
          <w:tcPr>
            <w:tcW w:w="9742" w:type="dxa"/>
          </w:tcPr>
          <w:p w14:paraId="0782373A" w14:textId="44DF837D" w:rsidR="00DE064B" w:rsidRPr="00406CA9" w:rsidRDefault="009C3259" w:rsidP="00DE064B">
            <w:pPr>
              <w:pStyle w:val="BodyText"/>
              <w:rPr>
                <w:rFonts w:cs="Poppins"/>
                <w:i/>
                <w:iCs/>
              </w:rPr>
            </w:pPr>
            <w:r>
              <w:rPr>
                <w:rFonts w:cs="Poppins"/>
                <w:i/>
                <w:iCs/>
              </w:rPr>
              <w:t>I am unsure how well this will work in practice</w:t>
            </w:r>
            <w:r w:rsidR="007914E7">
              <w:rPr>
                <w:rFonts w:cs="Poppins"/>
                <w:i/>
                <w:iCs/>
              </w:rPr>
              <w:t>, or if it is really needed,</w:t>
            </w:r>
            <w:r w:rsidR="0099456B">
              <w:rPr>
                <w:rFonts w:cs="Poppins"/>
                <w:i/>
                <w:iCs/>
              </w:rPr>
              <w:t xml:space="preserve"> </w:t>
            </w:r>
            <w:r w:rsidR="00D036FA">
              <w:rPr>
                <w:rFonts w:cs="Poppins"/>
                <w:i/>
                <w:iCs/>
              </w:rPr>
              <w:t>as noted above</w:t>
            </w:r>
            <w:r w:rsidR="0099456B">
              <w:rPr>
                <w:rFonts w:cs="Poppins"/>
                <w:i/>
                <w:iCs/>
              </w:rPr>
              <w:t>.</w:t>
            </w:r>
            <w:r w:rsidR="007914E7">
              <w:rPr>
                <w:rFonts w:cs="Poppins"/>
                <w:i/>
                <w:iCs/>
              </w:rPr>
              <w:t xml:space="preserve">  Therefore do not see the need to extend the approach.</w:t>
            </w:r>
          </w:p>
        </w:tc>
      </w:tr>
    </w:tbl>
    <w:p w14:paraId="31B69717" w14:textId="77777777" w:rsidR="00C07D83" w:rsidRDefault="00C07D83" w:rsidP="00C07D83">
      <w:pPr>
        <w:pStyle w:val="BodyText"/>
        <w:rPr>
          <w:rFonts w:cs="Poppins"/>
        </w:rPr>
      </w:pPr>
    </w:p>
    <w:p w14:paraId="2EADCDE1" w14:textId="77777777" w:rsidR="007B584B" w:rsidRDefault="00DE064B" w:rsidP="00C07D83">
      <w:pPr>
        <w:pStyle w:val="BodyText"/>
        <w:rPr>
          <w:rFonts w:cs="Poppins"/>
          <w:b/>
          <w:bCs/>
        </w:rPr>
      </w:pPr>
      <w:r>
        <w:rPr>
          <w:rFonts w:cs="Poppins"/>
          <w:b/>
          <w:bCs/>
        </w:rPr>
        <w:t>Project Designation Methodology</w:t>
      </w:r>
      <w:r w:rsidR="00244120">
        <w:rPr>
          <w:rFonts w:cs="Poppins"/>
          <w:b/>
          <w:bCs/>
        </w:rPr>
        <w:t xml:space="preserve"> </w:t>
      </w:r>
    </w:p>
    <w:p w14:paraId="48123266" w14:textId="45A01A4F" w:rsidR="00DE064B" w:rsidRPr="00DE064B" w:rsidRDefault="007B584B" w:rsidP="00C07D83">
      <w:pPr>
        <w:pStyle w:val="BodyText"/>
        <w:rPr>
          <w:rFonts w:cs="Poppins"/>
          <w:b/>
          <w:bCs/>
        </w:rPr>
      </w:pPr>
      <w:r w:rsidRPr="00DE064B">
        <w:rPr>
          <w:rFonts w:cs="Poppins"/>
        </w:rPr>
        <w:t xml:space="preserve">You can find the relevant information </w:t>
      </w:r>
      <w:r>
        <w:rPr>
          <w:rFonts w:cs="Poppins"/>
        </w:rPr>
        <w:t>in the</w:t>
      </w:r>
      <w:r w:rsidRPr="00DE064B">
        <w:rPr>
          <w:rFonts w:cs="Poppins"/>
        </w:rPr>
        <w:t xml:space="preserve"> </w:t>
      </w:r>
      <w:hyperlink r:id="rId14" w:history="1">
        <w:r w:rsidRPr="00DE064B">
          <w:rPr>
            <w:rStyle w:val="Hyperlink"/>
            <w:rFonts w:cs="Poppins"/>
            <w:b/>
            <w:bCs/>
          </w:rPr>
          <w:t>Project Designation Methodology - Detailed Document</w:t>
        </w:r>
      </w:hyperlink>
    </w:p>
    <w:tbl>
      <w:tblPr>
        <w:tblStyle w:val="TableGrid"/>
        <w:tblW w:w="0" w:type="auto"/>
        <w:tblLook w:val="04A0" w:firstRow="1" w:lastRow="0" w:firstColumn="1" w:lastColumn="0" w:noHBand="0" w:noVBand="1"/>
      </w:tblPr>
      <w:tblGrid>
        <w:gridCol w:w="9742"/>
      </w:tblGrid>
      <w:tr w:rsidR="00C07D83" w:rsidRPr="00406CA9" w14:paraId="5850AFA8" w14:textId="77777777">
        <w:tc>
          <w:tcPr>
            <w:tcW w:w="9742" w:type="dxa"/>
          </w:tcPr>
          <w:p w14:paraId="44CF1B22" w14:textId="617C8AB8" w:rsidR="00C07D83" w:rsidRPr="00DE064B" w:rsidRDefault="00DE064B" w:rsidP="00DE064B">
            <w:pPr>
              <w:pStyle w:val="BodyText"/>
              <w:numPr>
                <w:ilvl w:val="0"/>
                <w:numId w:val="21"/>
              </w:numPr>
              <w:rPr>
                <w:rFonts w:cs="Poppins"/>
              </w:rPr>
            </w:pPr>
            <w:r w:rsidRPr="00DE064B">
              <w:rPr>
                <w:rFonts w:cs="Poppins"/>
              </w:rPr>
              <w:t>Do you agree that the categories of projects that we have identified are the appropriate ones to potentially be designated?</w:t>
            </w:r>
          </w:p>
        </w:tc>
      </w:tr>
      <w:tr w:rsidR="00C07D83" w:rsidRPr="00406CA9" w14:paraId="7F97E25A" w14:textId="77777777">
        <w:tc>
          <w:tcPr>
            <w:tcW w:w="9742" w:type="dxa"/>
          </w:tcPr>
          <w:p w14:paraId="2A50FA1D" w14:textId="52809204" w:rsidR="00C07D83" w:rsidRPr="00406CA9" w:rsidRDefault="00880657">
            <w:pPr>
              <w:pStyle w:val="BodyText"/>
              <w:rPr>
                <w:rFonts w:cs="Poppins"/>
                <w:i/>
                <w:iCs/>
              </w:rPr>
            </w:pPr>
            <w:r>
              <w:rPr>
                <w:rFonts w:cs="Poppins"/>
                <w:i/>
                <w:iCs/>
              </w:rPr>
              <w:t>Yes but as it is a non-exclusive list then presumably NESO could use Designation for any purpose or project type.</w:t>
            </w:r>
          </w:p>
        </w:tc>
      </w:tr>
    </w:tbl>
    <w:p w14:paraId="00D3A344" w14:textId="77777777" w:rsidR="00C07D83" w:rsidRDefault="00C07D83" w:rsidP="00C07D83">
      <w:pPr>
        <w:pStyle w:val="BodyText"/>
        <w:rPr>
          <w:rFonts w:cs="Poppins"/>
        </w:rPr>
      </w:pPr>
    </w:p>
    <w:tbl>
      <w:tblPr>
        <w:tblStyle w:val="TableGrid"/>
        <w:tblW w:w="0" w:type="auto"/>
        <w:tblLook w:val="04A0" w:firstRow="1" w:lastRow="0" w:firstColumn="1" w:lastColumn="0" w:noHBand="0" w:noVBand="1"/>
      </w:tblPr>
      <w:tblGrid>
        <w:gridCol w:w="9742"/>
      </w:tblGrid>
      <w:tr w:rsidR="00DE064B" w:rsidRPr="00E605CD" w14:paraId="595A156B" w14:textId="77777777">
        <w:tc>
          <w:tcPr>
            <w:tcW w:w="9742" w:type="dxa"/>
          </w:tcPr>
          <w:p w14:paraId="522B11E3" w14:textId="1C18F54A" w:rsidR="00DE064B" w:rsidRPr="00DE064B" w:rsidRDefault="00DE064B" w:rsidP="00DE064B">
            <w:pPr>
              <w:pStyle w:val="BodyText"/>
              <w:numPr>
                <w:ilvl w:val="0"/>
                <w:numId w:val="21"/>
              </w:numPr>
              <w:rPr>
                <w:rFonts w:cs="Poppins"/>
              </w:rPr>
            </w:pPr>
            <w:r w:rsidRPr="00DE064B">
              <w:rPr>
                <w:rFonts w:cs="Poppins"/>
              </w:rPr>
              <w:t>Do you agree with the proposed criteria for assessing Designated Projects?</w:t>
            </w:r>
          </w:p>
        </w:tc>
      </w:tr>
      <w:tr w:rsidR="00C07D83" w:rsidRPr="00406CA9" w14:paraId="25944D16" w14:textId="77777777">
        <w:tc>
          <w:tcPr>
            <w:tcW w:w="9742" w:type="dxa"/>
          </w:tcPr>
          <w:p w14:paraId="0C61F8D9" w14:textId="0A2104AA" w:rsidR="00C07D83" w:rsidRPr="00406CA9" w:rsidRDefault="00516F6D">
            <w:pPr>
              <w:pStyle w:val="BodyText"/>
              <w:rPr>
                <w:rFonts w:cs="Poppins"/>
                <w:i/>
                <w:iCs/>
              </w:rPr>
            </w:pPr>
            <w:r>
              <w:rPr>
                <w:rFonts w:cs="Poppins"/>
                <w:i/>
                <w:iCs/>
              </w:rPr>
              <w:t>These seem reaso</w:t>
            </w:r>
            <w:r w:rsidR="0021570D">
              <w:rPr>
                <w:rFonts w:cs="Poppins"/>
                <w:i/>
                <w:iCs/>
              </w:rPr>
              <w:t>na</w:t>
            </w:r>
            <w:r>
              <w:rPr>
                <w:rFonts w:cs="Poppins"/>
                <w:i/>
                <w:iCs/>
              </w:rPr>
              <w:t xml:space="preserve">ble as general </w:t>
            </w:r>
            <w:proofErr w:type="gramStart"/>
            <w:r>
              <w:rPr>
                <w:rFonts w:cs="Poppins"/>
                <w:i/>
                <w:iCs/>
              </w:rPr>
              <w:t>principl</w:t>
            </w:r>
            <w:r w:rsidR="0021570D">
              <w:rPr>
                <w:rFonts w:cs="Poppins"/>
                <w:i/>
                <w:iCs/>
              </w:rPr>
              <w:t>es</w:t>
            </w:r>
            <w:proofErr w:type="gramEnd"/>
            <w:r>
              <w:rPr>
                <w:rFonts w:cs="Poppins"/>
                <w:i/>
                <w:iCs/>
              </w:rPr>
              <w:t xml:space="preserve"> but it is n</w:t>
            </w:r>
            <w:r w:rsidR="0021570D">
              <w:rPr>
                <w:rFonts w:cs="Poppins"/>
                <w:i/>
                <w:iCs/>
              </w:rPr>
              <w:t>o</w:t>
            </w:r>
            <w:r>
              <w:rPr>
                <w:rFonts w:cs="Poppins"/>
                <w:i/>
                <w:iCs/>
              </w:rPr>
              <w:t xml:space="preserve">t clear exactly </w:t>
            </w:r>
            <w:r w:rsidR="00286448">
              <w:rPr>
                <w:rFonts w:cs="Poppins"/>
                <w:i/>
                <w:iCs/>
              </w:rPr>
              <w:t>how they will be applied</w:t>
            </w:r>
            <w:r w:rsidR="0021570D">
              <w:rPr>
                <w:rFonts w:cs="Poppins"/>
                <w:i/>
                <w:iCs/>
              </w:rPr>
              <w:t xml:space="preserve"> and objectively assessed</w:t>
            </w:r>
            <w:r w:rsidR="00286448">
              <w:rPr>
                <w:rFonts w:cs="Poppins"/>
                <w:i/>
                <w:iCs/>
              </w:rPr>
              <w:t xml:space="preserve">, for example in section 2.2 </w:t>
            </w:r>
            <w:r w:rsidR="00095B84">
              <w:rPr>
                <w:rFonts w:cs="Poppins"/>
                <w:i/>
                <w:iCs/>
              </w:rPr>
              <w:t>C</w:t>
            </w:r>
            <w:r w:rsidR="00286448">
              <w:rPr>
                <w:rFonts w:cs="Poppins"/>
                <w:i/>
                <w:iCs/>
              </w:rPr>
              <w:t>.</w:t>
            </w:r>
            <w:r w:rsidR="00095B84">
              <w:rPr>
                <w:rFonts w:cs="Poppins"/>
                <w:i/>
                <w:iCs/>
              </w:rPr>
              <w:t xml:space="preserve"> a) what exactly is a “</w:t>
            </w:r>
            <w:r w:rsidR="00AC2259">
              <w:rPr>
                <w:rFonts w:cs="Poppins"/>
                <w:i/>
                <w:iCs/>
              </w:rPr>
              <w:t>significant</w:t>
            </w:r>
            <w:r w:rsidR="00095B84">
              <w:rPr>
                <w:rFonts w:cs="Poppins"/>
                <w:i/>
                <w:iCs/>
              </w:rPr>
              <w:t xml:space="preserve"> additional cost” and what is the counterfactual </w:t>
            </w:r>
            <w:r w:rsidR="00AF754D">
              <w:rPr>
                <w:rFonts w:cs="Poppins"/>
                <w:i/>
                <w:iCs/>
              </w:rPr>
              <w:t>constraint cost to which it is being compared</w:t>
            </w:r>
            <w:r w:rsidR="00B0799B">
              <w:rPr>
                <w:rFonts w:cs="Poppins"/>
                <w:i/>
                <w:iCs/>
              </w:rPr>
              <w:t>?</w:t>
            </w:r>
            <w:r w:rsidR="00286448">
              <w:rPr>
                <w:rFonts w:cs="Poppins"/>
                <w:i/>
                <w:iCs/>
              </w:rPr>
              <w:t xml:space="preserve"> </w:t>
            </w:r>
            <w:r w:rsidR="002E2C83">
              <w:rPr>
                <w:rFonts w:cs="Poppins"/>
                <w:i/>
                <w:iCs/>
              </w:rPr>
              <w:t xml:space="preserve">  In 2.2 D how would “benefits to consumers” be measured and </w:t>
            </w:r>
            <w:r w:rsidR="004E58F3">
              <w:rPr>
                <w:rFonts w:cs="Poppins"/>
                <w:i/>
                <w:iCs/>
              </w:rPr>
              <w:t>whether a novel sub-</w:t>
            </w:r>
            <w:proofErr w:type="gramStart"/>
            <w:r w:rsidR="004E58F3">
              <w:rPr>
                <w:rFonts w:cs="Poppins"/>
                <w:i/>
                <w:iCs/>
              </w:rPr>
              <w:t>type</w:t>
            </w:r>
            <w:proofErr w:type="gramEnd"/>
            <w:r w:rsidR="004E58F3">
              <w:rPr>
                <w:rFonts w:cs="Poppins"/>
                <w:i/>
                <w:iCs/>
              </w:rPr>
              <w:t xml:space="preserve"> technology has been “</w:t>
            </w:r>
            <w:r w:rsidR="004E58F3" w:rsidRPr="004E58F3">
              <w:rPr>
                <w:rFonts w:cs="Poppins"/>
                <w:i/>
                <w:iCs/>
              </w:rPr>
              <w:t>successfully developed and demonstrated, is considered commercially viable</w:t>
            </w:r>
            <w:r w:rsidR="004E58F3">
              <w:rPr>
                <w:rFonts w:cs="Poppins"/>
                <w:i/>
                <w:iCs/>
              </w:rPr>
              <w:t>”</w:t>
            </w:r>
            <w:r w:rsidR="00AA3B33">
              <w:rPr>
                <w:rFonts w:cs="Poppins"/>
                <w:i/>
                <w:iCs/>
              </w:rPr>
              <w:t>?</w:t>
            </w:r>
          </w:p>
        </w:tc>
      </w:tr>
    </w:tbl>
    <w:p w14:paraId="3704631E" w14:textId="77777777" w:rsidR="00C07D83" w:rsidRDefault="00C07D83" w:rsidP="000E1DE7">
      <w:pPr>
        <w:pStyle w:val="BodyText"/>
        <w:rPr>
          <w:rFonts w:cs="Poppins"/>
          <w:b/>
          <w:bCs/>
        </w:rPr>
      </w:pPr>
    </w:p>
    <w:tbl>
      <w:tblPr>
        <w:tblStyle w:val="TableGrid"/>
        <w:tblW w:w="0" w:type="auto"/>
        <w:tblLook w:val="04A0" w:firstRow="1" w:lastRow="0" w:firstColumn="1" w:lastColumn="0" w:noHBand="0" w:noVBand="1"/>
      </w:tblPr>
      <w:tblGrid>
        <w:gridCol w:w="9742"/>
      </w:tblGrid>
      <w:tr w:rsidR="00DE064B" w:rsidRPr="00DE064B" w14:paraId="6BEF9596" w14:textId="77777777">
        <w:tc>
          <w:tcPr>
            <w:tcW w:w="9742" w:type="dxa"/>
          </w:tcPr>
          <w:p w14:paraId="5DCBBBC6" w14:textId="7CE7AA35" w:rsidR="00DE064B" w:rsidRPr="00DE064B" w:rsidRDefault="00696037" w:rsidP="00696037">
            <w:pPr>
              <w:pStyle w:val="BodyText"/>
              <w:numPr>
                <w:ilvl w:val="0"/>
                <w:numId w:val="21"/>
              </w:numPr>
              <w:rPr>
                <w:rFonts w:cs="Poppins"/>
              </w:rPr>
            </w:pPr>
            <w:r w:rsidRPr="00696037">
              <w:rPr>
                <w:rFonts w:cs="Poppins"/>
              </w:rPr>
              <w:t>Do you agree with the indicative process NESO will follow for designating projects?</w:t>
            </w:r>
          </w:p>
        </w:tc>
      </w:tr>
      <w:tr w:rsidR="00DE064B" w:rsidRPr="00406CA9" w14:paraId="611E6227" w14:textId="77777777">
        <w:tc>
          <w:tcPr>
            <w:tcW w:w="9742" w:type="dxa"/>
          </w:tcPr>
          <w:p w14:paraId="10AA5DF1" w14:textId="77777777" w:rsidR="00DE064B" w:rsidRDefault="00C03257">
            <w:pPr>
              <w:pStyle w:val="BodyText"/>
              <w:rPr>
                <w:rFonts w:cs="Poppins"/>
                <w:i/>
                <w:iCs/>
              </w:rPr>
            </w:pPr>
            <w:r>
              <w:rPr>
                <w:rFonts w:cs="Poppins"/>
                <w:i/>
                <w:iCs/>
              </w:rPr>
              <w:t xml:space="preserve">In section 4.1.4 I would like to see details of an appeals process to </w:t>
            </w:r>
            <w:r w:rsidR="00353DDB">
              <w:rPr>
                <w:rFonts w:cs="Poppins"/>
                <w:i/>
                <w:iCs/>
              </w:rPr>
              <w:t xml:space="preserve">a third party, and don’t understand how the Methodology can simply state </w:t>
            </w:r>
            <w:r w:rsidR="00D40804">
              <w:rPr>
                <w:rFonts w:cs="Poppins"/>
                <w:i/>
                <w:iCs/>
              </w:rPr>
              <w:t>“</w:t>
            </w:r>
            <w:r w:rsidR="00D40804" w:rsidRPr="00D40804">
              <w:rPr>
                <w:rFonts w:cs="Poppins"/>
                <w:i/>
                <w:iCs/>
              </w:rPr>
              <w:t>Users have the right to appeal a NESO designation decision</w:t>
            </w:r>
            <w:r w:rsidR="00DD7F03">
              <w:rPr>
                <w:rFonts w:cs="Poppins"/>
                <w:i/>
                <w:iCs/>
              </w:rPr>
              <w:t>” but that “</w:t>
            </w:r>
            <w:r w:rsidR="00D40804" w:rsidRPr="00D40804">
              <w:rPr>
                <w:rFonts w:cs="Poppins"/>
                <w:i/>
                <w:iCs/>
              </w:rPr>
              <w:t>NESO will publish details of that appeals process</w:t>
            </w:r>
            <w:r w:rsidR="00DD7F03">
              <w:rPr>
                <w:rFonts w:cs="Poppins"/>
                <w:i/>
                <w:iCs/>
              </w:rPr>
              <w:t>”.</w:t>
            </w:r>
          </w:p>
          <w:p w14:paraId="41F06DC4" w14:textId="7F045FC2" w:rsidR="00DD7F03" w:rsidRDefault="004920CF">
            <w:pPr>
              <w:pStyle w:val="BodyText"/>
              <w:rPr>
                <w:rFonts w:cs="Poppins"/>
                <w:i/>
                <w:iCs/>
              </w:rPr>
            </w:pPr>
            <w:r>
              <w:rPr>
                <w:rFonts w:cs="Poppins"/>
                <w:i/>
                <w:iCs/>
              </w:rPr>
              <w:t xml:space="preserve">It is noted that a User who changes its project may lose Designation </w:t>
            </w:r>
            <w:proofErr w:type="gramStart"/>
            <w:r>
              <w:rPr>
                <w:rFonts w:cs="Poppins"/>
                <w:i/>
                <w:iCs/>
              </w:rPr>
              <w:t>status</w:t>
            </w:r>
            <w:proofErr w:type="gramEnd"/>
            <w:r>
              <w:rPr>
                <w:rFonts w:cs="Poppins"/>
                <w:i/>
                <w:iCs/>
              </w:rPr>
              <w:t xml:space="preserve"> but </w:t>
            </w:r>
            <w:r w:rsidR="009D3386">
              <w:rPr>
                <w:rFonts w:cs="Poppins"/>
                <w:i/>
                <w:iCs/>
              </w:rPr>
              <w:t xml:space="preserve">this needs to be put in the context of the wider “change” </w:t>
            </w:r>
            <w:r w:rsidR="00AC2259">
              <w:rPr>
                <w:rFonts w:cs="Poppins"/>
                <w:i/>
                <w:iCs/>
              </w:rPr>
              <w:t>provisions</w:t>
            </w:r>
            <w:r w:rsidR="009D3386">
              <w:rPr>
                <w:rFonts w:cs="Poppins"/>
                <w:i/>
                <w:iCs/>
              </w:rPr>
              <w:t xml:space="preserve"> (which remain unclear as they have yet to be published).  </w:t>
            </w:r>
            <w:proofErr w:type="gramStart"/>
            <w:r w:rsidR="00AC2259">
              <w:rPr>
                <w:rFonts w:cs="Poppins"/>
                <w:i/>
                <w:iCs/>
              </w:rPr>
              <w:t>Obviously</w:t>
            </w:r>
            <w:proofErr w:type="gramEnd"/>
            <w:r w:rsidR="009D3386">
              <w:rPr>
                <w:rFonts w:cs="Poppins"/>
                <w:i/>
                <w:iCs/>
              </w:rPr>
              <w:t xml:space="preserve"> a project which ceases to provide the </w:t>
            </w:r>
            <w:r w:rsidR="00AC2259">
              <w:rPr>
                <w:rFonts w:cs="Poppins"/>
                <w:i/>
                <w:iCs/>
              </w:rPr>
              <w:t>benefits</w:t>
            </w:r>
            <w:r w:rsidR="009D3386">
              <w:rPr>
                <w:rFonts w:cs="Poppins"/>
                <w:i/>
                <w:iCs/>
              </w:rPr>
              <w:t xml:space="preserve"> for which it was Designated </w:t>
            </w:r>
            <w:r w:rsidR="00D6742E">
              <w:rPr>
                <w:rFonts w:cs="Poppins"/>
                <w:i/>
                <w:iCs/>
              </w:rPr>
              <w:t>c</w:t>
            </w:r>
            <w:r w:rsidR="009D3386">
              <w:rPr>
                <w:rFonts w:cs="Poppins"/>
                <w:i/>
                <w:iCs/>
              </w:rPr>
              <w:t xml:space="preserve">ould lose that status, and </w:t>
            </w:r>
            <w:r w:rsidR="00821DD6">
              <w:rPr>
                <w:rFonts w:cs="Poppins"/>
                <w:i/>
                <w:iCs/>
              </w:rPr>
              <w:t xml:space="preserve">where </w:t>
            </w:r>
            <w:r w:rsidR="00AC2259">
              <w:rPr>
                <w:rFonts w:cs="Poppins"/>
                <w:i/>
                <w:iCs/>
              </w:rPr>
              <w:t>Designation</w:t>
            </w:r>
            <w:r w:rsidR="00821DD6">
              <w:rPr>
                <w:rFonts w:cs="Poppins"/>
                <w:i/>
                <w:iCs/>
              </w:rPr>
              <w:t xml:space="preserve"> gave the User a </w:t>
            </w:r>
            <w:r w:rsidR="00AC2259">
              <w:rPr>
                <w:rFonts w:cs="Poppins"/>
                <w:i/>
                <w:iCs/>
              </w:rPr>
              <w:t>benefit</w:t>
            </w:r>
            <w:r w:rsidR="00821DD6">
              <w:rPr>
                <w:rFonts w:cs="Poppins"/>
                <w:i/>
                <w:iCs/>
              </w:rPr>
              <w:t xml:space="preserve">, that should be </w:t>
            </w:r>
            <w:r w:rsidR="00AC2259">
              <w:rPr>
                <w:rFonts w:cs="Poppins"/>
                <w:i/>
                <w:iCs/>
              </w:rPr>
              <w:t>removed</w:t>
            </w:r>
            <w:r w:rsidR="00D6742E">
              <w:rPr>
                <w:rFonts w:cs="Poppins"/>
                <w:i/>
                <w:iCs/>
              </w:rPr>
              <w:t>.  B</w:t>
            </w:r>
            <w:r w:rsidR="00CF20CF">
              <w:rPr>
                <w:rFonts w:cs="Poppins"/>
                <w:i/>
                <w:iCs/>
              </w:rPr>
              <w:t xml:space="preserve">ut if the </w:t>
            </w:r>
            <w:r w:rsidR="006A2F68">
              <w:rPr>
                <w:rFonts w:cs="Poppins"/>
                <w:i/>
                <w:iCs/>
              </w:rPr>
              <w:t xml:space="preserve">User’s </w:t>
            </w:r>
            <w:r w:rsidR="00CF20CF">
              <w:rPr>
                <w:rFonts w:cs="Poppins"/>
                <w:i/>
                <w:iCs/>
              </w:rPr>
              <w:t xml:space="preserve">change did not impact on Designation, or that the current queue position and/or connection date was not dependent on </w:t>
            </w:r>
            <w:r w:rsidR="00537D57">
              <w:rPr>
                <w:rFonts w:cs="Poppins"/>
                <w:i/>
                <w:iCs/>
              </w:rPr>
              <w:t xml:space="preserve">Designation as a matter of fact, then there should not be any </w:t>
            </w:r>
            <w:r w:rsidR="00AC2259">
              <w:rPr>
                <w:rFonts w:cs="Poppins"/>
                <w:i/>
                <w:iCs/>
              </w:rPr>
              <w:t>consequences</w:t>
            </w:r>
            <w:r w:rsidR="00537D57">
              <w:rPr>
                <w:rFonts w:cs="Poppins"/>
                <w:i/>
                <w:iCs/>
              </w:rPr>
              <w:t>.  NESO’s approach here should be clarified.</w:t>
            </w:r>
          </w:p>
          <w:p w14:paraId="2404A443" w14:textId="589CDCDA" w:rsidR="00283109" w:rsidRPr="00406CA9" w:rsidRDefault="005C6E22">
            <w:pPr>
              <w:pStyle w:val="BodyText"/>
              <w:rPr>
                <w:rFonts w:cs="Poppins"/>
                <w:i/>
                <w:iCs/>
              </w:rPr>
            </w:pPr>
            <w:r>
              <w:rPr>
                <w:rFonts w:cs="Poppins"/>
                <w:i/>
                <w:iCs/>
              </w:rPr>
              <w:t xml:space="preserve">In terms of the </w:t>
            </w:r>
            <w:r w:rsidR="00DD75A8">
              <w:rPr>
                <w:rFonts w:cs="Poppins"/>
                <w:i/>
                <w:iCs/>
              </w:rPr>
              <w:t>information</w:t>
            </w:r>
            <w:r>
              <w:rPr>
                <w:rFonts w:cs="Poppins"/>
                <w:i/>
                <w:iCs/>
              </w:rPr>
              <w:t xml:space="preserve"> to be supplied by </w:t>
            </w:r>
            <w:r w:rsidR="00DD75A8">
              <w:rPr>
                <w:rFonts w:cs="Poppins"/>
                <w:i/>
                <w:iCs/>
              </w:rPr>
              <w:t>applicants</w:t>
            </w:r>
            <w:r>
              <w:rPr>
                <w:rFonts w:cs="Poppins"/>
                <w:i/>
                <w:iCs/>
              </w:rPr>
              <w:t xml:space="preserve"> for Designation, </w:t>
            </w:r>
            <w:r w:rsidR="00410B68">
              <w:rPr>
                <w:rFonts w:cs="Poppins"/>
                <w:i/>
                <w:iCs/>
              </w:rPr>
              <w:t xml:space="preserve">I felt that this was poorly thought out </w:t>
            </w:r>
            <w:r w:rsidR="005F4EFF">
              <w:rPr>
                <w:rFonts w:cs="Poppins"/>
                <w:i/>
                <w:iCs/>
              </w:rPr>
              <w:t xml:space="preserve">and drafted and </w:t>
            </w:r>
            <w:r w:rsidR="00031067">
              <w:rPr>
                <w:rFonts w:cs="Poppins"/>
                <w:i/>
                <w:iCs/>
              </w:rPr>
              <w:t>i</w:t>
            </w:r>
            <w:r w:rsidR="005F4EFF">
              <w:rPr>
                <w:rFonts w:cs="Poppins"/>
                <w:i/>
                <w:iCs/>
              </w:rPr>
              <w:t xml:space="preserve">n places required </w:t>
            </w:r>
            <w:r w:rsidR="00DD75A8">
              <w:rPr>
                <w:rFonts w:cs="Poppins"/>
                <w:i/>
                <w:iCs/>
              </w:rPr>
              <w:t>statements</w:t>
            </w:r>
            <w:r w:rsidR="005F4EFF">
              <w:rPr>
                <w:rFonts w:cs="Poppins"/>
                <w:i/>
                <w:iCs/>
              </w:rPr>
              <w:t xml:space="preserve"> fr</w:t>
            </w:r>
            <w:r w:rsidR="00DD75A8">
              <w:rPr>
                <w:rFonts w:cs="Poppins"/>
                <w:i/>
                <w:iCs/>
              </w:rPr>
              <w:t>om</w:t>
            </w:r>
            <w:r w:rsidR="005F4EFF">
              <w:rPr>
                <w:rFonts w:cs="Poppins"/>
                <w:i/>
                <w:iCs/>
              </w:rPr>
              <w:t xml:space="preserve"> the applic</w:t>
            </w:r>
            <w:r w:rsidR="00DD75A8">
              <w:rPr>
                <w:rFonts w:cs="Poppins"/>
                <w:i/>
                <w:iCs/>
              </w:rPr>
              <w:t>ant</w:t>
            </w:r>
            <w:r w:rsidR="005F4EFF">
              <w:rPr>
                <w:rFonts w:cs="Poppins"/>
                <w:i/>
                <w:iCs/>
              </w:rPr>
              <w:t xml:space="preserve">s which </w:t>
            </w:r>
            <w:r w:rsidR="005F4EFF">
              <w:rPr>
                <w:rFonts w:cs="Poppins"/>
                <w:i/>
                <w:iCs/>
              </w:rPr>
              <w:lastRenderedPageBreak/>
              <w:t xml:space="preserve">they could not provide such as </w:t>
            </w:r>
            <w:r w:rsidR="00D94790">
              <w:rPr>
                <w:rFonts w:cs="Poppins"/>
                <w:i/>
                <w:iCs/>
              </w:rPr>
              <w:t xml:space="preserve">“cost to the </w:t>
            </w:r>
            <w:r w:rsidR="00DD75A8">
              <w:rPr>
                <w:rFonts w:cs="Poppins"/>
                <w:i/>
                <w:iCs/>
              </w:rPr>
              <w:t>consumer</w:t>
            </w:r>
            <w:r w:rsidR="00D94790">
              <w:rPr>
                <w:rFonts w:cs="Poppins"/>
                <w:i/>
                <w:iCs/>
              </w:rPr>
              <w:t xml:space="preserve">” or “benefit to the </w:t>
            </w:r>
            <w:r w:rsidR="00DD75A8">
              <w:rPr>
                <w:rFonts w:cs="Poppins"/>
                <w:i/>
                <w:iCs/>
              </w:rPr>
              <w:t>consumer</w:t>
            </w:r>
            <w:r w:rsidR="00D94790">
              <w:rPr>
                <w:rFonts w:cs="Poppins"/>
                <w:i/>
                <w:iCs/>
              </w:rPr>
              <w:t>”</w:t>
            </w:r>
            <w:r w:rsidR="009906E9">
              <w:rPr>
                <w:rFonts w:cs="Poppins"/>
                <w:i/>
                <w:iCs/>
              </w:rPr>
              <w:t xml:space="preserve"> (5.1.2</w:t>
            </w:r>
            <w:r w:rsidR="00C94C95">
              <w:rPr>
                <w:rFonts w:cs="Poppins"/>
                <w:i/>
                <w:iCs/>
              </w:rPr>
              <w:t>, 5.1.4, 5.1.6</w:t>
            </w:r>
            <w:r w:rsidR="009906E9">
              <w:rPr>
                <w:rFonts w:cs="Poppins"/>
                <w:i/>
                <w:iCs/>
              </w:rPr>
              <w:t>)</w:t>
            </w:r>
            <w:r w:rsidR="00D94790">
              <w:rPr>
                <w:rFonts w:cs="Poppins"/>
                <w:i/>
                <w:iCs/>
              </w:rPr>
              <w:t xml:space="preserve">, </w:t>
            </w:r>
            <w:r w:rsidR="00386954">
              <w:rPr>
                <w:rFonts w:cs="Poppins"/>
                <w:i/>
                <w:iCs/>
              </w:rPr>
              <w:t>“[</w:t>
            </w:r>
            <w:r w:rsidR="009906E9">
              <w:rPr>
                <w:rFonts w:cs="Poppins"/>
                <w:i/>
                <w:iCs/>
              </w:rPr>
              <w:t>why</w:t>
            </w:r>
            <w:r w:rsidR="00386954">
              <w:rPr>
                <w:rFonts w:cs="Poppins"/>
                <w:i/>
                <w:iCs/>
              </w:rPr>
              <w:t>]</w:t>
            </w:r>
            <w:r w:rsidR="009906E9">
              <w:rPr>
                <w:rFonts w:cs="Poppins"/>
                <w:i/>
                <w:iCs/>
              </w:rPr>
              <w:t xml:space="preserve"> </w:t>
            </w:r>
            <w:r w:rsidR="00386954">
              <w:rPr>
                <w:rFonts w:cs="Poppins"/>
                <w:i/>
                <w:iCs/>
              </w:rPr>
              <w:t>t</w:t>
            </w:r>
            <w:r w:rsidR="0027587E" w:rsidRPr="0027587E">
              <w:rPr>
                <w:rFonts w:cs="Poppins"/>
                <w:i/>
                <w:iCs/>
              </w:rPr>
              <w:t>his technology may not have been included in the strategic energy plan</w:t>
            </w:r>
            <w:r w:rsidR="00386954">
              <w:rPr>
                <w:rFonts w:cs="Poppins"/>
                <w:i/>
                <w:iCs/>
              </w:rPr>
              <w:t>” (5.1.5)</w:t>
            </w:r>
            <w:r w:rsidR="0027587E" w:rsidRPr="0027587E">
              <w:rPr>
                <w:rFonts w:cs="Poppins"/>
                <w:i/>
                <w:iCs/>
              </w:rPr>
              <w:t xml:space="preserve"> </w:t>
            </w:r>
            <w:r w:rsidR="005560DE">
              <w:rPr>
                <w:rFonts w:cs="Poppins"/>
                <w:i/>
                <w:iCs/>
              </w:rPr>
              <w:t xml:space="preserve">We also did not </w:t>
            </w:r>
            <w:r w:rsidR="00DD75A8">
              <w:rPr>
                <w:rFonts w:cs="Poppins"/>
                <w:i/>
                <w:iCs/>
              </w:rPr>
              <w:t>understand</w:t>
            </w:r>
            <w:r w:rsidR="005560DE">
              <w:rPr>
                <w:rFonts w:cs="Poppins"/>
                <w:i/>
                <w:iCs/>
              </w:rPr>
              <w:t xml:space="preserve"> why the User’s load factor assumption needed to align to the TNUoS </w:t>
            </w:r>
            <w:r w:rsidR="00DD75A8">
              <w:rPr>
                <w:rFonts w:cs="Poppins"/>
                <w:i/>
                <w:iCs/>
              </w:rPr>
              <w:t>arrangements</w:t>
            </w:r>
            <w:r w:rsidR="005560DE">
              <w:rPr>
                <w:rFonts w:cs="Poppins"/>
                <w:i/>
                <w:iCs/>
              </w:rPr>
              <w:t xml:space="preserve"> (5.1.4)</w:t>
            </w:r>
            <w:r w:rsidR="00AD1935">
              <w:rPr>
                <w:rFonts w:cs="Poppins"/>
                <w:i/>
                <w:iCs/>
              </w:rPr>
              <w:t>.</w:t>
            </w:r>
          </w:p>
        </w:tc>
      </w:tr>
    </w:tbl>
    <w:p w14:paraId="5C665B5C" w14:textId="77777777" w:rsidR="00DE064B" w:rsidRDefault="00DE064B" w:rsidP="000E1DE7">
      <w:pPr>
        <w:pStyle w:val="BodyText"/>
        <w:rPr>
          <w:rFonts w:cs="Poppins"/>
          <w:b/>
          <w:bCs/>
        </w:rPr>
      </w:pPr>
    </w:p>
    <w:p w14:paraId="7F958DD9" w14:textId="276FC036" w:rsidR="00696037" w:rsidRDefault="00696037" w:rsidP="00696037">
      <w:pPr>
        <w:tabs>
          <w:tab w:val="left" w:pos="2120"/>
        </w:tabs>
      </w:pPr>
      <w:r>
        <w:tab/>
      </w:r>
    </w:p>
    <w:p w14:paraId="3F8E65C5" w14:textId="3AC2DA9E" w:rsidR="00696037" w:rsidRPr="007B584B" w:rsidRDefault="00696037" w:rsidP="00696037">
      <w:pPr>
        <w:tabs>
          <w:tab w:val="left" w:pos="2120"/>
        </w:tabs>
        <w:rPr>
          <w:rFonts w:ascii="Poppins" w:hAnsi="Poppins" w:cs="Poppins"/>
          <w:b/>
          <w:bCs/>
          <w:sz w:val="20"/>
          <w:szCs w:val="20"/>
        </w:rPr>
      </w:pPr>
      <w:r w:rsidRPr="007B584B">
        <w:rPr>
          <w:rFonts w:ascii="Poppins" w:hAnsi="Poppins" w:cs="Poppins"/>
          <w:b/>
          <w:bCs/>
          <w:sz w:val="20"/>
          <w:szCs w:val="20"/>
        </w:rPr>
        <w:t>Additional Questions</w:t>
      </w:r>
    </w:p>
    <w:tbl>
      <w:tblPr>
        <w:tblStyle w:val="TableGrid"/>
        <w:tblW w:w="0" w:type="auto"/>
        <w:tblLook w:val="04A0" w:firstRow="1" w:lastRow="0" w:firstColumn="1" w:lastColumn="0" w:noHBand="0" w:noVBand="1"/>
      </w:tblPr>
      <w:tblGrid>
        <w:gridCol w:w="9742"/>
      </w:tblGrid>
      <w:tr w:rsidR="00696037" w:rsidRPr="00DE064B" w14:paraId="25994D0F" w14:textId="77777777">
        <w:tc>
          <w:tcPr>
            <w:tcW w:w="9742" w:type="dxa"/>
          </w:tcPr>
          <w:p w14:paraId="0518DB14" w14:textId="3C5D3DC3" w:rsidR="00696037" w:rsidRPr="00DE064B" w:rsidRDefault="001D0EAF" w:rsidP="00696037">
            <w:pPr>
              <w:pStyle w:val="BodyText"/>
              <w:rPr>
                <w:rFonts w:cs="Poppins"/>
              </w:rPr>
            </w:pPr>
            <w:r w:rsidRPr="001D0EAF">
              <w:rPr>
                <w:rFonts w:cs="Poppins"/>
              </w:rPr>
              <w:t>18. Do you have any other comments (including whether there was anything else you were expecting to be covered in these documents)?</w:t>
            </w:r>
          </w:p>
        </w:tc>
      </w:tr>
      <w:tr w:rsidR="00696037" w:rsidRPr="00406CA9" w14:paraId="4B857588" w14:textId="77777777">
        <w:tc>
          <w:tcPr>
            <w:tcW w:w="9742" w:type="dxa"/>
          </w:tcPr>
          <w:p w14:paraId="01FCA215" w14:textId="39B3F8F6" w:rsidR="00696037" w:rsidRDefault="002D2DCD">
            <w:pPr>
              <w:pStyle w:val="BodyText"/>
              <w:rPr>
                <w:rFonts w:cs="Poppins"/>
                <w:i/>
                <w:iCs/>
              </w:rPr>
            </w:pPr>
            <w:r>
              <w:rPr>
                <w:rFonts w:cs="Poppins"/>
                <w:i/>
                <w:iCs/>
              </w:rPr>
              <w:t>I appr</w:t>
            </w:r>
            <w:r w:rsidR="00080E19">
              <w:rPr>
                <w:rFonts w:cs="Poppins"/>
                <w:i/>
                <w:iCs/>
              </w:rPr>
              <w:t>e</w:t>
            </w:r>
            <w:r>
              <w:rPr>
                <w:rFonts w:cs="Poppins"/>
                <w:i/>
                <w:iCs/>
              </w:rPr>
              <w:t>c</w:t>
            </w:r>
            <w:r w:rsidR="00080E19">
              <w:rPr>
                <w:rFonts w:cs="Poppins"/>
                <w:i/>
                <w:iCs/>
              </w:rPr>
              <w:t>ia</w:t>
            </w:r>
            <w:r>
              <w:rPr>
                <w:rFonts w:cs="Poppins"/>
                <w:i/>
                <w:iCs/>
              </w:rPr>
              <w:t xml:space="preserve">te that these </w:t>
            </w:r>
            <w:r w:rsidR="00080E19">
              <w:rPr>
                <w:rFonts w:cs="Poppins"/>
                <w:i/>
                <w:iCs/>
              </w:rPr>
              <w:t>documents</w:t>
            </w:r>
            <w:r>
              <w:rPr>
                <w:rFonts w:cs="Poppins"/>
                <w:i/>
                <w:iCs/>
              </w:rPr>
              <w:t xml:space="preserve"> have been produced in haste</w:t>
            </w:r>
            <w:r w:rsidR="00A23356">
              <w:rPr>
                <w:rFonts w:cs="Poppins"/>
                <w:i/>
                <w:iCs/>
              </w:rPr>
              <w:t xml:space="preserve"> but feel that they really needed more review and </w:t>
            </w:r>
            <w:r w:rsidR="00080E19">
              <w:rPr>
                <w:rFonts w:cs="Poppins"/>
                <w:i/>
                <w:iCs/>
              </w:rPr>
              <w:t>refinement</w:t>
            </w:r>
            <w:r w:rsidR="00A23356">
              <w:rPr>
                <w:rFonts w:cs="Poppins"/>
                <w:i/>
                <w:iCs/>
              </w:rPr>
              <w:t xml:space="preserve"> </w:t>
            </w:r>
            <w:r w:rsidR="003D5D09">
              <w:rPr>
                <w:rFonts w:cs="Poppins"/>
                <w:i/>
                <w:iCs/>
              </w:rPr>
              <w:t xml:space="preserve">prior to issue as a </w:t>
            </w:r>
            <w:r w:rsidR="00080E19">
              <w:rPr>
                <w:rFonts w:cs="Poppins"/>
                <w:i/>
                <w:iCs/>
              </w:rPr>
              <w:t>consultation</w:t>
            </w:r>
            <w:r w:rsidR="003D5D09">
              <w:rPr>
                <w:rFonts w:cs="Poppins"/>
                <w:i/>
                <w:iCs/>
              </w:rPr>
              <w:t xml:space="preserve">.  </w:t>
            </w:r>
            <w:r w:rsidR="00AE2F37">
              <w:rPr>
                <w:rFonts w:cs="Poppins"/>
                <w:i/>
                <w:iCs/>
              </w:rPr>
              <w:t xml:space="preserve">In places the </w:t>
            </w:r>
            <w:r w:rsidR="00080E19">
              <w:rPr>
                <w:rFonts w:cs="Poppins"/>
                <w:i/>
                <w:iCs/>
              </w:rPr>
              <w:t>methodologies</w:t>
            </w:r>
            <w:r w:rsidR="00AE2F37">
              <w:rPr>
                <w:rFonts w:cs="Poppins"/>
                <w:i/>
                <w:iCs/>
              </w:rPr>
              <w:t xml:space="preserve"> are quite firm and prescriptive (both on Users and NESO/TOs) and in others only very general</w:t>
            </w:r>
            <w:r w:rsidR="00050A93">
              <w:rPr>
                <w:rFonts w:cs="Poppins"/>
                <w:i/>
                <w:iCs/>
              </w:rPr>
              <w:t xml:space="preserve"> (even being </w:t>
            </w:r>
            <w:r w:rsidR="0085609C">
              <w:rPr>
                <w:rFonts w:cs="Poppins"/>
                <w:i/>
                <w:iCs/>
              </w:rPr>
              <w:t xml:space="preserve">written </w:t>
            </w:r>
            <w:r w:rsidR="00050A93">
              <w:rPr>
                <w:rFonts w:cs="Poppins"/>
                <w:i/>
                <w:iCs/>
              </w:rPr>
              <w:t>as a “</w:t>
            </w:r>
            <w:r w:rsidR="00AE2F37">
              <w:rPr>
                <w:rFonts w:cs="Poppins"/>
                <w:i/>
                <w:iCs/>
              </w:rPr>
              <w:t>propos</w:t>
            </w:r>
            <w:r w:rsidR="0085609C">
              <w:rPr>
                <w:rFonts w:cs="Poppins"/>
                <w:i/>
                <w:iCs/>
              </w:rPr>
              <w:t>a</w:t>
            </w:r>
            <w:r w:rsidR="00AE2F37">
              <w:rPr>
                <w:rFonts w:cs="Poppins"/>
                <w:i/>
                <w:iCs/>
              </w:rPr>
              <w:t>l</w:t>
            </w:r>
            <w:r w:rsidR="00050A93">
              <w:rPr>
                <w:rFonts w:cs="Poppins"/>
                <w:i/>
                <w:iCs/>
              </w:rPr>
              <w:t xml:space="preserve">” rather </w:t>
            </w:r>
            <w:r w:rsidR="0085609C">
              <w:rPr>
                <w:rFonts w:cs="Poppins"/>
                <w:i/>
                <w:iCs/>
              </w:rPr>
              <w:t xml:space="preserve">than </w:t>
            </w:r>
            <w:r w:rsidR="00080E19">
              <w:rPr>
                <w:rFonts w:cs="Poppins"/>
                <w:i/>
                <w:iCs/>
              </w:rPr>
              <w:t>Methodologies</w:t>
            </w:r>
            <w:r w:rsidR="0085609C">
              <w:rPr>
                <w:rFonts w:cs="Poppins"/>
                <w:i/>
                <w:iCs/>
              </w:rPr>
              <w:t>)</w:t>
            </w:r>
            <w:r w:rsidR="001C185A">
              <w:rPr>
                <w:rFonts w:cs="Poppins"/>
                <w:i/>
                <w:iCs/>
              </w:rPr>
              <w:t xml:space="preserve">.  The CNDM </w:t>
            </w:r>
            <w:r w:rsidR="004508FF">
              <w:rPr>
                <w:rFonts w:cs="Poppins"/>
                <w:i/>
                <w:iCs/>
              </w:rPr>
              <w:t>itself is s</w:t>
            </w:r>
            <w:r w:rsidR="00C4766B">
              <w:rPr>
                <w:rFonts w:cs="Poppins"/>
                <w:i/>
                <w:iCs/>
              </w:rPr>
              <w:t>t</w:t>
            </w:r>
            <w:r w:rsidR="004508FF">
              <w:rPr>
                <w:rFonts w:cs="Poppins"/>
                <w:i/>
                <w:iCs/>
              </w:rPr>
              <w:t>ated on page 3 and at para 1.1.2 that it is an “overview</w:t>
            </w:r>
            <w:r w:rsidR="00DE1CCC">
              <w:rPr>
                <w:rFonts w:cs="Poppins"/>
                <w:i/>
                <w:iCs/>
              </w:rPr>
              <w:t xml:space="preserve">” of </w:t>
            </w:r>
            <w:r w:rsidR="00AF6399">
              <w:rPr>
                <w:rFonts w:cs="Poppins"/>
                <w:i/>
                <w:iCs/>
              </w:rPr>
              <w:t xml:space="preserve">the </w:t>
            </w:r>
            <w:r w:rsidR="00DE1CCC">
              <w:rPr>
                <w:rFonts w:cs="Poppins"/>
                <w:i/>
                <w:iCs/>
              </w:rPr>
              <w:t xml:space="preserve">approach – I would have expected the document to be </w:t>
            </w:r>
            <w:r w:rsidR="0009310B">
              <w:rPr>
                <w:rFonts w:cs="Poppins"/>
                <w:i/>
                <w:iCs/>
              </w:rPr>
              <w:t xml:space="preserve">much more than </w:t>
            </w:r>
            <w:r w:rsidR="00A6390A">
              <w:rPr>
                <w:rFonts w:cs="Poppins"/>
                <w:i/>
                <w:iCs/>
              </w:rPr>
              <w:t xml:space="preserve">an </w:t>
            </w:r>
            <w:r w:rsidR="0009310B">
              <w:rPr>
                <w:rFonts w:cs="Poppins"/>
                <w:i/>
                <w:iCs/>
              </w:rPr>
              <w:t>overview, it needs to be a methodology to be followed</w:t>
            </w:r>
            <w:r w:rsidR="00D05B85">
              <w:rPr>
                <w:rFonts w:cs="Poppins"/>
                <w:i/>
                <w:iCs/>
              </w:rPr>
              <w:t xml:space="preserve"> by NESO and the TOs</w:t>
            </w:r>
            <w:r w:rsidR="0009310B">
              <w:rPr>
                <w:rFonts w:cs="Poppins"/>
                <w:i/>
                <w:iCs/>
              </w:rPr>
              <w:t xml:space="preserve">.  All of this </w:t>
            </w:r>
            <w:r w:rsidR="0085609C">
              <w:rPr>
                <w:rFonts w:cs="Poppins"/>
                <w:i/>
                <w:iCs/>
              </w:rPr>
              <w:t xml:space="preserve">is extremely concerning given the </w:t>
            </w:r>
            <w:r w:rsidR="00080E19">
              <w:rPr>
                <w:rFonts w:cs="Poppins"/>
                <w:i/>
                <w:iCs/>
              </w:rPr>
              <w:t>significant</w:t>
            </w:r>
            <w:r w:rsidR="0085609C">
              <w:rPr>
                <w:rFonts w:cs="Poppins"/>
                <w:i/>
                <w:iCs/>
              </w:rPr>
              <w:t xml:space="preserve"> </w:t>
            </w:r>
            <w:r w:rsidR="00FE550E">
              <w:rPr>
                <w:rFonts w:cs="Poppins"/>
                <w:i/>
                <w:iCs/>
              </w:rPr>
              <w:t>financial</w:t>
            </w:r>
            <w:r w:rsidR="0085609C">
              <w:rPr>
                <w:rFonts w:cs="Poppins"/>
                <w:i/>
                <w:iCs/>
              </w:rPr>
              <w:t xml:space="preserve"> stake that developers and Users have in the </w:t>
            </w:r>
            <w:r w:rsidR="00080E19">
              <w:rPr>
                <w:rFonts w:cs="Poppins"/>
                <w:i/>
                <w:iCs/>
              </w:rPr>
              <w:t>arrangements</w:t>
            </w:r>
            <w:r w:rsidR="0085609C">
              <w:rPr>
                <w:rFonts w:cs="Poppins"/>
                <w:i/>
                <w:iCs/>
              </w:rPr>
              <w:t xml:space="preserve">. </w:t>
            </w:r>
            <w:r w:rsidR="00AE2F37">
              <w:rPr>
                <w:rFonts w:cs="Poppins"/>
                <w:i/>
                <w:iCs/>
              </w:rPr>
              <w:t xml:space="preserve"> </w:t>
            </w:r>
            <w:r w:rsidR="003D5D09">
              <w:rPr>
                <w:rFonts w:cs="Poppins"/>
                <w:i/>
                <w:iCs/>
              </w:rPr>
              <w:t xml:space="preserve">Further comments of a </w:t>
            </w:r>
            <w:r w:rsidR="00080E19">
              <w:rPr>
                <w:rFonts w:cs="Poppins"/>
                <w:i/>
                <w:iCs/>
              </w:rPr>
              <w:t>typographical</w:t>
            </w:r>
            <w:r w:rsidR="003D5D09">
              <w:rPr>
                <w:rFonts w:cs="Poppins"/>
                <w:i/>
                <w:iCs/>
              </w:rPr>
              <w:t xml:space="preserve"> nature are detailed below</w:t>
            </w:r>
            <w:r w:rsidR="007F26AB">
              <w:rPr>
                <w:rFonts w:cs="Poppins"/>
                <w:i/>
                <w:iCs/>
              </w:rPr>
              <w:t>, but as</w:t>
            </w:r>
            <w:r w:rsidR="00A6390A">
              <w:rPr>
                <w:rFonts w:cs="Poppins"/>
                <w:i/>
                <w:iCs/>
              </w:rPr>
              <w:t xml:space="preserve"> a</w:t>
            </w:r>
            <w:r w:rsidR="007F26AB">
              <w:rPr>
                <w:rFonts w:cs="Poppins"/>
                <w:i/>
                <w:iCs/>
              </w:rPr>
              <w:t xml:space="preserve"> mor</w:t>
            </w:r>
            <w:r w:rsidR="00A6390A">
              <w:rPr>
                <w:rFonts w:cs="Poppins"/>
                <w:i/>
                <w:iCs/>
              </w:rPr>
              <w:t>e</w:t>
            </w:r>
            <w:r w:rsidR="007F26AB">
              <w:rPr>
                <w:rFonts w:cs="Poppins"/>
                <w:i/>
                <w:iCs/>
              </w:rPr>
              <w:t xml:space="preserve"> general point it is a pity that the expertise available </w:t>
            </w:r>
            <w:r w:rsidR="00080E19">
              <w:rPr>
                <w:rFonts w:cs="Poppins"/>
                <w:i/>
                <w:iCs/>
              </w:rPr>
              <w:t>amongst</w:t>
            </w:r>
            <w:r w:rsidR="007F26AB">
              <w:rPr>
                <w:rFonts w:cs="Poppins"/>
                <w:i/>
                <w:iCs/>
              </w:rPr>
              <w:t xml:space="preserve"> the user community was not used to discuss and develop the methodologies as they would </w:t>
            </w:r>
            <w:r w:rsidR="00080E19">
              <w:rPr>
                <w:rFonts w:cs="Poppins"/>
                <w:i/>
                <w:iCs/>
              </w:rPr>
              <w:t>likely</w:t>
            </w:r>
            <w:r w:rsidR="007F26AB">
              <w:rPr>
                <w:rFonts w:cs="Poppins"/>
                <w:i/>
                <w:iCs/>
              </w:rPr>
              <w:t xml:space="preserve"> </w:t>
            </w:r>
            <w:r w:rsidR="000D02AE">
              <w:rPr>
                <w:rFonts w:cs="Poppins"/>
                <w:i/>
                <w:iCs/>
              </w:rPr>
              <w:t>have</w:t>
            </w:r>
            <w:r w:rsidR="007F26AB">
              <w:rPr>
                <w:rFonts w:cs="Poppins"/>
                <w:i/>
                <w:iCs/>
              </w:rPr>
              <w:t xml:space="preserve"> produced better and more </w:t>
            </w:r>
            <w:r w:rsidR="00080E19">
              <w:rPr>
                <w:rFonts w:cs="Poppins"/>
                <w:i/>
                <w:iCs/>
              </w:rPr>
              <w:t>balanced</w:t>
            </w:r>
            <w:r w:rsidR="007F26AB">
              <w:rPr>
                <w:rFonts w:cs="Poppins"/>
                <w:i/>
                <w:iCs/>
              </w:rPr>
              <w:t xml:space="preserve"> </w:t>
            </w:r>
            <w:r w:rsidR="000D02AE">
              <w:rPr>
                <w:rFonts w:cs="Poppins"/>
                <w:i/>
                <w:iCs/>
              </w:rPr>
              <w:t>document</w:t>
            </w:r>
            <w:r w:rsidR="00F55C68">
              <w:rPr>
                <w:rFonts w:cs="Poppins"/>
                <w:i/>
                <w:iCs/>
              </w:rPr>
              <w:t>s</w:t>
            </w:r>
            <w:r w:rsidR="00657D0D">
              <w:rPr>
                <w:rFonts w:cs="Poppins"/>
                <w:i/>
                <w:iCs/>
              </w:rPr>
              <w:t xml:space="preserve">.  The </w:t>
            </w:r>
            <w:r w:rsidR="00080E19">
              <w:rPr>
                <w:rFonts w:cs="Poppins"/>
                <w:i/>
                <w:iCs/>
              </w:rPr>
              <w:t>exception</w:t>
            </w:r>
            <w:r w:rsidR="00657D0D">
              <w:rPr>
                <w:rFonts w:cs="Poppins"/>
                <w:i/>
                <w:iCs/>
              </w:rPr>
              <w:t xml:space="preserve"> is of course the Gate 2 </w:t>
            </w:r>
            <w:r w:rsidR="00080E19">
              <w:rPr>
                <w:rFonts w:cs="Poppins"/>
                <w:i/>
                <w:iCs/>
              </w:rPr>
              <w:t>Methodology</w:t>
            </w:r>
            <w:r w:rsidR="00657D0D">
              <w:rPr>
                <w:rFonts w:cs="Poppins"/>
                <w:i/>
                <w:iCs/>
              </w:rPr>
              <w:t xml:space="preserve"> which was discussed in both CMP434 and 435 working groups and is all the better for it</w:t>
            </w:r>
            <w:r w:rsidR="00223124">
              <w:rPr>
                <w:rFonts w:cs="Poppins"/>
                <w:i/>
                <w:iCs/>
              </w:rPr>
              <w:t xml:space="preserve">.  There is also a </w:t>
            </w:r>
            <w:r w:rsidR="00080E19">
              <w:rPr>
                <w:rFonts w:cs="Poppins"/>
                <w:i/>
                <w:iCs/>
              </w:rPr>
              <w:t>significant</w:t>
            </w:r>
            <w:r w:rsidR="00223124">
              <w:rPr>
                <w:rFonts w:cs="Poppins"/>
                <w:i/>
                <w:iCs/>
              </w:rPr>
              <w:t xml:space="preserve"> drawback in this form of </w:t>
            </w:r>
            <w:r w:rsidR="00080E19">
              <w:rPr>
                <w:rFonts w:cs="Poppins"/>
                <w:i/>
                <w:iCs/>
              </w:rPr>
              <w:t>consultation</w:t>
            </w:r>
            <w:r w:rsidR="00223124">
              <w:rPr>
                <w:rFonts w:cs="Poppins"/>
                <w:i/>
                <w:iCs/>
              </w:rPr>
              <w:t xml:space="preserve"> </w:t>
            </w:r>
            <w:r w:rsidR="008F79CF">
              <w:rPr>
                <w:rFonts w:cs="Poppins"/>
                <w:i/>
                <w:iCs/>
              </w:rPr>
              <w:t xml:space="preserve">(that is, issuing complex </w:t>
            </w:r>
            <w:r w:rsidR="00080E19">
              <w:rPr>
                <w:rFonts w:cs="Poppins"/>
                <w:i/>
                <w:iCs/>
              </w:rPr>
              <w:t>documents</w:t>
            </w:r>
            <w:r w:rsidR="008F79CF">
              <w:rPr>
                <w:rFonts w:cs="Poppins"/>
                <w:i/>
                <w:iCs/>
              </w:rPr>
              <w:t xml:space="preserve"> </w:t>
            </w:r>
            <w:r w:rsidR="001F3D7B">
              <w:rPr>
                <w:rFonts w:cs="Poppins"/>
                <w:i/>
                <w:iCs/>
              </w:rPr>
              <w:t xml:space="preserve">for a quite short </w:t>
            </w:r>
            <w:r w:rsidR="00080E19">
              <w:rPr>
                <w:rFonts w:cs="Poppins"/>
                <w:i/>
                <w:iCs/>
              </w:rPr>
              <w:t>consultation</w:t>
            </w:r>
            <w:r w:rsidR="001F3D7B">
              <w:rPr>
                <w:rFonts w:cs="Poppins"/>
                <w:i/>
                <w:iCs/>
              </w:rPr>
              <w:t xml:space="preserve"> period</w:t>
            </w:r>
            <w:r w:rsidR="00F55C68">
              <w:rPr>
                <w:rFonts w:cs="Poppins"/>
                <w:i/>
                <w:iCs/>
              </w:rPr>
              <w:t xml:space="preserve"> and few rel</w:t>
            </w:r>
            <w:r w:rsidR="00534206">
              <w:rPr>
                <w:rFonts w:cs="Poppins"/>
                <w:i/>
                <w:iCs/>
              </w:rPr>
              <w:t>a</w:t>
            </w:r>
            <w:r w:rsidR="00F55C68">
              <w:rPr>
                <w:rFonts w:cs="Poppins"/>
                <w:i/>
                <w:iCs/>
              </w:rPr>
              <w:t>tively closed consulta</w:t>
            </w:r>
            <w:r w:rsidR="00534206">
              <w:rPr>
                <w:rFonts w:cs="Poppins"/>
                <w:i/>
                <w:iCs/>
              </w:rPr>
              <w:t>t</w:t>
            </w:r>
            <w:r w:rsidR="00F55C68">
              <w:rPr>
                <w:rFonts w:cs="Poppins"/>
                <w:i/>
                <w:iCs/>
              </w:rPr>
              <w:t>ion questions</w:t>
            </w:r>
            <w:r w:rsidR="00C06FFF">
              <w:rPr>
                <w:rFonts w:cs="Poppins"/>
                <w:i/>
                <w:iCs/>
              </w:rPr>
              <w:t>)</w:t>
            </w:r>
            <w:r w:rsidR="001F3D7B">
              <w:rPr>
                <w:rFonts w:cs="Poppins"/>
                <w:i/>
                <w:iCs/>
              </w:rPr>
              <w:t>, where there is only very</w:t>
            </w:r>
            <w:r w:rsidR="00534206">
              <w:rPr>
                <w:rFonts w:cs="Poppins"/>
                <w:i/>
                <w:iCs/>
              </w:rPr>
              <w:t xml:space="preserve"> </w:t>
            </w:r>
            <w:r w:rsidR="000D02AE">
              <w:rPr>
                <w:rFonts w:cs="Poppins"/>
                <w:i/>
                <w:iCs/>
              </w:rPr>
              <w:t>limited</w:t>
            </w:r>
            <w:r w:rsidR="001F3D7B">
              <w:rPr>
                <w:rFonts w:cs="Poppins"/>
                <w:i/>
                <w:iCs/>
              </w:rPr>
              <w:t xml:space="preserve"> interaction </w:t>
            </w:r>
            <w:r w:rsidR="00FE550E">
              <w:rPr>
                <w:rFonts w:cs="Poppins"/>
                <w:i/>
                <w:iCs/>
              </w:rPr>
              <w:t>between</w:t>
            </w:r>
            <w:r w:rsidR="001F3D7B">
              <w:rPr>
                <w:rFonts w:cs="Poppins"/>
                <w:i/>
                <w:iCs/>
              </w:rPr>
              <w:t xml:space="preserve"> affected parties</w:t>
            </w:r>
            <w:r w:rsidR="00534206">
              <w:rPr>
                <w:rFonts w:cs="Poppins"/>
                <w:i/>
                <w:iCs/>
              </w:rPr>
              <w:t>,</w:t>
            </w:r>
            <w:r w:rsidR="001F3D7B">
              <w:rPr>
                <w:rFonts w:cs="Poppins"/>
                <w:i/>
                <w:iCs/>
              </w:rPr>
              <w:t xml:space="preserve"> which would tend to have sparked new ideas and approache</w:t>
            </w:r>
            <w:r w:rsidR="00C06FFF">
              <w:rPr>
                <w:rFonts w:cs="Poppins"/>
                <w:i/>
                <w:iCs/>
              </w:rPr>
              <w:t>s.</w:t>
            </w:r>
          </w:p>
          <w:p w14:paraId="572542ED" w14:textId="667451CA" w:rsidR="00C06FFF" w:rsidRPr="00406CA9" w:rsidRDefault="00C06FFF">
            <w:pPr>
              <w:pStyle w:val="BodyText"/>
              <w:rPr>
                <w:rFonts w:cs="Poppins"/>
                <w:i/>
                <w:iCs/>
              </w:rPr>
            </w:pPr>
          </w:p>
        </w:tc>
      </w:tr>
    </w:tbl>
    <w:p w14:paraId="05D5DC09" w14:textId="77777777" w:rsidR="00696037" w:rsidRDefault="00696037" w:rsidP="00696037">
      <w:pPr>
        <w:tabs>
          <w:tab w:val="left" w:pos="2120"/>
        </w:tabs>
        <w:rPr>
          <w:b/>
          <w:bCs/>
        </w:rPr>
      </w:pPr>
    </w:p>
    <w:p w14:paraId="5EC61A3C" w14:textId="6C986374" w:rsidR="00181BAB" w:rsidRPr="007B584B" w:rsidRDefault="00181BAB" w:rsidP="00181BAB">
      <w:pPr>
        <w:tabs>
          <w:tab w:val="left" w:pos="2120"/>
        </w:tabs>
        <w:rPr>
          <w:rFonts w:ascii="Poppins" w:hAnsi="Poppins" w:cs="Poppins"/>
          <w:b/>
          <w:bCs/>
          <w:sz w:val="20"/>
          <w:szCs w:val="20"/>
        </w:rPr>
      </w:pPr>
      <w:r w:rsidRPr="007B584B">
        <w:rPr>
          <w:rFonts w:ascii="Poppins" w:hAnsi="Poppins" w:cs="Poppins"/>
          <w:b/>
          <w:bCs/>
          <w:sz w:val="20"/>
          <w:szCs w:val="20"/>
        </w:rPr>
        <w:t xml:space="preserve">Additional </w:t>
      </w:r>
      <w:r w:rsidR="00980121">
        <w:rPr>
          <w:rFonts w:ascii="Poppins" w:hAnsi="Poppins" w:cs="Poppins"/>
          <w:b/>
          <w:bCs/>
          <w:sz w:val="20"/>
          <w:szCs w:val="20"/>
        </w:rPr>
        <w:t>Drafting</w:t>
      </w:r>
      <w:r>
        <w:rPr>
          <w:rFonts w:ascii="Poppins" w:hAnsi="Poppins" w:cs="Poppins"/>
          <w:b/>
          <w:bCs/>
          <w:sz w:val="20"/>
          <w:szCs w:val="20"/>
        </w:rPr>
        <w:t xml:space="preserve"> and Typographical Comments</w:t>
      </w:r>
    </w:p>
    <w:tbl>
      <w:tblPr>
        <w:tblStyle w:val="TableGrid"/>
        <w:tblW w:w="0" w:type="auto"/>
        <w:tblLook w:val="04A0" w:firstRow="1" w:lastRow="0" w:firstColumn="1" w:lastColumn="0" w:noHBand="0" w:noVBand="1"/>
      </w:tblPr>
      <w:tblGrid>
        <w:gridCol w:w="9742"/>
      </w:tblGrid>
      <w:tr w:rsidR="00181BAB" w:rsidRPr="00DE064B" w14:paraId="4560CE59" w14:textId="77777777" w:rsidTr="00FF3DAE">
        <w:tc>
          <w:tcPr>
            <w:tcW w:w="9742" w:type="dxa"/>
          </w:tcPr>
          <w:p w14:paraId="70E968A7" w14:textId="3A5F3AD3" w:rsidR="00181BAB" w:rsidRPr="00DA2A69" w:rsidRDefault="00181BAB" w:rsidP="00FF3DAE">
            <w:pPr>
              <w:pStyle w:val="BodyText"/>
              <w:rPr>
                <w:rFonts w:cs="Poppins"/>
                <w:b/>
                <w:bCs/>
              </w:rPr>
            </w:pPr>
            <w:r w:rsidRPr="00DA2A69">
              <w:rPr>
                <w:rFonts w:cs="Poppins"/>
                <w:b/>
                <w:bCs/>
              </w:rPr>
              <w:t>Ov</w:t>
            </w:r>
            <w:r w:rsidR="00990E92" w:rsidRPr="00DA2A69">
              <w:rPr>
                <w:rFonts w:cs="Poppins"/>
                <w:b/>
                <w:bCs/>
              </w:rPr>
              <w:t>erview Document</w:t>
            </w:r>
            <w:r w:rsidR="0030324A" w:rsidRPr="00DA2A69">
              <w:rPr>
                <w:rFonts w:cs="Poppins"/>
                <w:b/>
                <w:bCs/>
              </w:rPr>
              <w:t xml:space="preserve">, </w:t>
            </w:r>
            <w:r w:rsidR="00A236EB" w:rsidRPr="00DA2A69">
              <w:rPr>
                <w:rFonts w:cs="Poppins"/>
                <w:b/>
                <w:bCs/>
              </w:rPr>
              <w:t>References to IDNO</w:t>
            </w:r>
            <w:r w:rsidR="00980121" w:rsidRPr="00DA2A69">
              <w:rPr>
                <w:rFonts w:cs="Poppins"/>
                <w:b/>
                <w:bCs/>
              </w:rPr>
              <w:t>s</w:t>
            </w:r>
            <w:r w:rsidR="0030324A" w:rsidRPr="00DA2A69">
              <w:rPr>
                <w:rFonts w:cs="Poppins"/>
                <w:b/>
                <w:bCs/>
              </w:rPr>
              <w:t xml:space="preserve"> and General Points</w:t>
            </w:r>
          </w:p>
        </w:tc>
      </w:tr>
      <w:tr w:rsidR="00181BAB" w:rsidRPr="00406CA9" w14:paraId="31664C8A" w14:textId="77777777" w:rsidTr="00FF3DAE">
        <w:tc>
          <w:tcPr>
            <w:tcW w:w="9742" w:type="dxa"/>
          </w:tcPr>
          <w:p w14:paraId="2DD8F397" w14:textId="64C2E566" w:rsidR="00181BAB" w:rsidRDefault="00990E92" w:rsidP="00FF3DAE">
            <w:pPr>
              <w:pStyle w:val="BodyText"/>
              <w:rPr>
                <w:rFonts w:cs="Poppins"/>
                <w:i/>
                <w:iCs/>
              </w:rPr>
            </w:pPr>
            <w:r>
              <w:rPr>
                <w:rFonts w:cs="Poppins"/>
                <w:i/>
                <w:iCs/>
              </w:rPr>
              <w:t>Th</w:t>
            </w:r>
            <w:r w:rsidR="00BC2B4C">
              <w:rPr>
                <w:rFonts w:cs="Poppins"/>
                <w:i/>
                <w:iCs/>
              </w:rPr>
              <w:t xml:space="preserve">e overview </w:t>
            </w:r>
            <w:r w:rsidR="004E5F29">
              <w:rPr>
                <w:rFonts w:cs="Poppins"/>
                <w:i/>
                <w:iCs/>
              </w:rPr>
              <w:t>do</w:t>
            </w:r>
            <w:r>
              <w:rPr>
                <w:rFonts w:cs="Poppins"/>
                <w:i/>
                <w:iCs/>
              </w:rPr>
              <w:t>cum</w:t>
            </w:r>
            <w:r w:rsidR="004E5F29">
              <w:rPr>
                <w:rFonts w:cs="Poppins"/>
                <w:i/>
                <w:iCs/>
              </w:rPr>
              <w:t>e</w:t>
            </w:r>
            <w:r>
              <w:rPr>
                <w:rFonts w:cs="Poppins"/>
                <w:i/>
                <w:iCs/>
              </w:rPr>
              <w:t xml:space="preserve">nt needs to say at the outset that references </w:t>
            </w:r>
            <w:r w:rsidR="001360F1">
              <w:rPr>
                <w:rFonts w:cs="Poppins"/>
                <w:i/>
                <w:iCs/>
              </w:rPr>
              <w:t xml:space="preserve">to “DNOs” also includes </w:t>
            </w:r>
            <w:r w:rsidR="00301F17" w:rsidRPr="00C01D12">
              <w:rPr>
                <w:rFonts w:cs="Poppins"/>
                <w:i/>
                <w:iCs/>
              </w:rPr>
              <w:t xml:space="preserve">Transmission </w:t>
            </w:r>
            <w:r w:rsidR="001360F1">
              <w:rPr>
                <w:rFonts w:cs="Poppins"/>
                <w:i/>
                <w:iCs/>
              </w:rPr>
              <w:t xml:space="preserve">Connected IDNOs (save where </w:t>
            </w:r>
            <w:r w:rsidR="00980121">
              <w:rPr>
                <w:rFonts w:cs="Poppins"/>
                <w:i/>
                <w:iCs/>
              </w:rPr>
              <w:t>otherwise</w:t>
            </w:r>
            <w:r w:rsidR="001360F1">
              <w:rPr>
                <w:rFonts w:cs="Poppins"/>
                <w:i/>
                <w:iCs/>
              </w:rPr>
              <w:t xml:space="preserve"> stated).  </w:t>
            </w:r>
            <w:r w:rsidR="002E1D4A">
              <w:rPr>
                <w:rFonts w:cs="Poppins"/>
                <w:i/>
                <w:iCs/>
              </w:rPr>
              <w:t>I</w:t>
            </w:r>
            <w:r w:rsidR="001360F1">
              <w:rPr>
                <w:rFonts w:cs="Poppins"/>
                <w:i/>
                <w:iCs/>
              </w:rPr>
              <w:t xml:space="preserve"> not</w:t>
            </w:r>
            <w:r w:rsidR="007408CD">
              <w:rPr>
                <w:rFonts w:cs="Poppins"/>
                <w:i/>
                <w:iCs/>
              </w:rPr>
              <w:t>e</w:t>
            </w:r>
            <w:r w:rsidR="001360F1">
              <w:rPr>
                <w:rFonts w:cs="Poppins"/>
                <w:i/>
                <w:iCs/>
              </w:rPr>
              <w:t xml:space="preserve"> that </w:t>
            </w:r>
            <w:r w:rsidR="00BC2B4C">
              <w:rPr>
                <w:rFonts w:cs="Poppins"/>
                <w:i/>
                <w:iCs/>
              </w:rPr>
              <w:t>this type of</w:t>
            </w:r>
            <w:r w:rsidR="007408CD">
              <w:rPr>
                <w:rFonts w:cs="Poppins"/>
                <w:i/>
                <w:iCs/>
              </w:rPr>
              <w:t xml:space="preserve"> statement </w:t>
            </w:r>
            <w:r w:rsidR="001360F1">
              <w:rPr>
                <w:rFonts w:cs="Poppins"/>
                <w:i/>
                <w:iCs/>
              </w:rPr>
              <w:t>i</w:t>
            </w:r>
            <w:r w:rsidR="007408CD">
              <w:rPr>
                <w:rFonts w:cs="Poppins"/>
                <w:i/>
                <w:iCs/>
              </w:rPr>
              <w:t>s</w:t>
            </w:r>
            <w:r w:rsidR="001360F1">
              <w:rPr>
                <w:rFonts w:cs="Poppins"/>
                <w:i/>
                <w:iCs/>
              </w:rPr>
              <w:t xml:space="preserve"> included in the CNDM</w:t>
            </w:r>
            <w:r w:rsidR="004D509E">
              <w:rPr>
                <w:rFonts w:cs="Poppins"/>
                <w:i/>
                <w:iCs/>
              </w:rPr>
              <w:t xml:space="preserve">, whereas the </w:t>
            </w:r>
            <w:r w:rsidR="007408CD">
              <w:rPr>
                <w:rFonts w:cs="Poppins"/>
                <w:i/>
                <w:iCs/>
              </w:rPr>
              <w:t xml:space="preserve">Gate 2 </w:t>
            </w:r>
            <w:r w:rsidR="00156E9A" w:rsidRPr="00156E9A">
              <w:rPr>
                <w:rFonts w:cs="Poppins"/>
                <w:i/>
                <w:iCs/>
              </w:rPr>
              <w:t>Criteria Methodology</w:t>
            </w:r>
            <w:r w:rsidR="00156E9A">
              <w:rPr>
                <w:rFonts w:cs="Poppins"/>
                <w:i/>
                <w:iCs/>
              </w:rPr>
              <w:t xml:space="preserve"> carefully states in numerous places “</w:t>
            </w:r>
            <w:r w:rsidR="00C01D12" w:rsidRPr="00C01D12">
              <w:rPr>
                <w:rFonts w:cs="Poppins"/>
                <w:i/>
                <w:iCs/>
              </w:rPr>
              <w:t>DNO/Transmission Connected iDNO</w:t>
            </w:r>
            <w:r w:rsidR="00C01D12">
              <w:rPr>
                <w:rFonts w:cs="Poppins"/>
                <w:i/>
                <w:iCs/>
              </w:rPr>
              <w:t xml:space="preserve">” </w:t>
            </w:r>
            <w:r w:rsidR="00BC2B4C">
              <w:rPr>
                <w:rFonts w:cs="Poppins"/>
                <w:i/>
                <w:iCs/>
              </w:rPr>
              <w:t>(</w:t>
            </w:r>
            <w:r w:rsidR="00C01D12">
              <w:rPr>
                <w:rFonts w:cs="Poppins"/>
                <w:i/>
                <w:iCs/>
              </w:rPr>
              <w:t>which would be simplified if the suggested statement was included there</w:t>
            </w:r>
            <w:r w:rsidR="00BC2B4C">
              <w:rPr>
                <w:rFonts w:cs="Poppins"/>
                <w:i/>
                <w:iCs/>
              </w:rPr>
              <w:t>)</w:t>
            </w:r>
            <w:r w:rsidR="00C01D12">
              <w:rPr>
                <w:rFonts w:cs="Poppins"/>
                <w:i/>
                <w:iCs/>
              </w:rPr>
              <w:t>.</w:t>
            </w:r>
            <w:r w:rsidR="00060017">
              <w:rPr>
                <w:rFonts w:cs="Poppins"/>
                <w:i/>
                <w:iCs/>
              </w:rPr>
              <w:t xml:space="preserve">  The </w:t>
            </w:r>
            <w:r w:rsidR="00301F17" w:rsidRPr="00301F17">
              <w:rPr>
                <w:rFonts w:cs="Poppins"/>
                <w:i/>
                <w:iCs/>
              </w:rPr>
              <w:t>Project Designation Methodology</w:t>
            </w:r>
            <w:r w:rsidR="00301F17">
              <w:rPr>
                <w:rFonts w:cs="Poppins"/>
                <w:i/>
                <w:iCs/>
              </w:rPr>
              <w:t xml:space="preserve"> refers only to DNOs, it is assumed to also mean </w:t>
            </w:r>
            <w:r w:rsidR="00301F17" w:rsidRPr="00C01D12">
              <w:rPr>
                <w:rFonts w:cs="Poppins"/>
                <w:i/>
                <w:iCs/>
              </w:rPr>
              <w:t>Transmission Connected iDNO</w:t>
            </w:r>
            <w:r w:rsidR="00301F17">
              <w:rPr>
                <w:rFonts w:cs="Poppins"/>
                <w:i/>
                <w:iCs/>
              </w:rPr>
              <w:t>s, but that should be explicit.</w:t>
            </w:r>
          </w:p>
          <w:p w14:paraId="7705B7BA" w14:textId="20827279" w:rsidR="00181BAB" w:rsidRPr="00406CA9" w:rsidRDefault="00CB542C" w:rsidP="00FF3DAE">
            <w:pPr>
              <w:pStyle w:val="BodyText"/>
              <w:rPr>
                <w:rFonts w:cs="Poppins"/>
                <w:i/>
                <w:iCs/>
              </w:rPr>
            </w:pPr>
            <w:r>
              <w:rPr>
                <w:rFonts w:cs="Poppins"/>
                <w:i/>
                <w:iCs/>
              </w:rPr>
              <w:t>All</w:t>
            </w:r>
            <w:r w:rsidR="00D26730">
              <w:rPr>
                <w:rFonts w:cs="Poppins"/>
                <w:i/>
                <w:iCs/>
              </w:rPr>
              <w:t xml:space="preserve"> </w:t>
            </w:r>
            <w:r w:rsidR="000D02AE">
              <w:rPr>
                <w:rFonts w:cs="Poppins"/>
                <w:i/>
                <w:iCs/>
              </w:rPr>
              <w:t>document</w:t>
            </w:r>
            <w:r>
              <w:rPr>
                <w:rFonts w:cs="Poppins"/>
                <w:i/>
                <w:iCs/>
              </w:rPr>
              <w:t>s</w:t>
            </w:r>
            <w:r w:rsidR="00D26730">
              <w:rPr>
                <w:rFonts w:cs="Poppins"/>
                <w:i/>
                <w:iCs/>
              </w:rPr>
              <w:t xml:space="preserve"> need to be reviewed to ensure that correct defined terms are used</w:t>
            </w:r>
            <w:r w:rsidR="00393CEE">
              <w:rPr>
                <w:rFonts w:cs="Poppins"/>
                <w:i/>
                <w:iCs/>
              </w:rPr>
              <w:t xml:space="preserve"> with </w:t>
            </w:r>
            <w:r w:rsidR="00DA2A69">
              <w:rPr>
                <w:rFonts w:cs="Poppins"/>
                <w:i/>
                <w:iCs/>
              </w:rPr>
              <w:t>capitalisation</w:t>
            </w:r>
            <w:r w:rsidR="00D26730">
              <w:rPr>
                <w:rFonts w:cs="Poppins"/>
                <w:i/>
                <w:iCs/>
              </w:rPr>
              <w:t xml:space="preserve">, and a general statement added to say that </w:t>
            </w:r>
            <w:r w:rsidR="00DA2A69">
              <w:rPr>
                <w:rFonts w:cs="Poppins"/>
                <w:i/>
                <w:iCs/>
              </w:rPr>
              <w:t>c</w:t>
            </w:r>
            <w:r w:rsidR="000D02AE">
              <w:rPr>
                <w:rFonts w:cs="Poppins"/>
                <w:i/>
                <w:iCs/>
              </w:rPr>
              <w:t>apitalised</w:t>
            </w:r>
            <w:r w:rsidR="00D26730">
              <w:rPr>
                <w:rFonts w:cs="Poppins"/>
                <w:i/>
                <w:iCs/>
              </w:rPr>
              <w:t xml:space="preserve"> </w:t>
            </w:r>
            <w:r w:rsidR="00DA2A69">
              <w:rPr>
                <w:rFonts w:cs="Poppins"/>
                <w:i/>
                <w:iCs/>
              </w:rPr>
              <w:t>t</w:t>
            </w:r>
            <w:r w:rsidR="00D26730">
              <w:rPr>
                <w:rFonts w:cs="Poppins"/>
                <w:i/>
                <w:iCs/>
              </w:rPr>
              <w:t xml:space="preserve">erms not defined in the </w:t>
            </w:r>
            <w:r w:rsidR="000D02AE">
              <w:rPr>
                <w:rFonts w:cs="Poppins"/>
                <w:i/>
                <w:iCs/>
              </w:rPr>
              <w:t>Methodologies</w:t>
            </w:r>
            <w:r w:rsidR="00D26730">
              <w:rPr>
                <w:rFonts w:cs="Poppins"/>
                <w:i/>
                <w:iCs/>
              </w:rPr>
              <w:t xml:space="preserve"> take </w:t>
            </w:r>
            <w:r w:rsidR="00FE550E">
              <w:rPr>
                <w:rFonts w:cs="Poppins"/>
                <w:i/>
                <w:iCs/>
              </w:rPr>
              <w:t>their</w:t>
            </w:r>
            <w:r w:rsidR="00D26730">
              <w:rPr>
                <w:rFonts w:cs="Poppins"/>
                <w:i/>
                <w:iCs/>
              </w:rPr>
              <w:t xml:space="preserve"> meaning from the CUSC</w:t>
            </w:r>
            <w:r>
              <w:rPr>
                <w:rFonts w:cs="Poppins"/>
                <w:i/>
                <w:iCs/>
              </w:rPr>
              <w:t xml:space="preserve"> (but with the further caveat that </w:t>
            </w:r>
            <w:r w:rsidR="003A2309">
              <w:rPr>
                <w:rFonts w:cs="Poppins"/>
                <w:i/>
                <w:iCs/>
              </w:rPr>
              <w:t>new or amended</w:t>
            </w:r>
            <w:r>
              <w:rPr>
                <w:rFonts w:cs="Poppins"/>
                <w:i/>
                <w:iCs/>
              </w:rPr>
              <w:t xml:space="preserve"> CUSC </w:t>
            </w:r>
            <w:r w:rsidR="003A2309">
              <w:rPr>
                <w:rFonts w:cs="Poppins"/>
                <w:i/>
                <w:iCs/>
              </w:rPr>
              <w:t xml:space="preserve">definitions are </w:t>
            </w:r>
            <w:r w:rsidR="005A787B">
              <w:rPr>
                <w:rFonts w:cs="Poppins"/>
                <w:i/>
                <w:iCs/>
              </w:rPr>
              <w:t xml:space="preserve">considered </w:t>
            </w:r>
            <w:r w:rsidR="003A2309">
              <w:rPr>
                <w:rFonts w:cs="Poppins"/>
                <w:i/>
                <w:iCs/>
              </w:rPr>
              <w:t xml:space="preserve">to apply on the </w:t>
            </w:r>
            <w:r w:rsidR="00480D73">
              <w:rPr>
                <w:rFonts w:cs="Poppins"/>
                <w:i/>
                <w:iCs/>
              </w:rPr>
              <w:t xml:space="preserve">assumption </w:t>
            </w:r>
            <w:r w:rsidR="003A2309">
              <w:rPr>
                <w:rFonts w:cs="Poppins"/>
                <w:i/>
                <w:iCs/>
              </w:rPr>
              <w:t xml:space="preserve">that </w:t>
            </w:r>
            <w:r w:rsidR="00480D73">
              <w:rPr>
                <w:rFonts w:cs="Poppins"/>
                <w:i/>
                <w:iCs/>
              </w:rPr>
              <w:t xml:space="preserve">NESO’s Original </w:t>
            </w:r>
            <w:r w:rsidR="00480D73">
              <w:rPr>
                <w:rFonts w:cs="Poppins"/>
                <w:i/>
                <w:iCs/>
              </w:rPr>
              <w:lastRenderedPageBreak/>
              <w:t xml:space="preserve">proposals in </w:t>
            </w:r>
            <w:r w:rsidR="005A787B">
              <w:rPr>
                <w:rFonts w:cs="Poppins"/>
                <w:i/>
                <w:iCs/>
              </w:rPr>
              <w:t>CMP434</w:t>
            </w:r>
            <w:r w:rsidR="00480D73">
              <w:rPr>
                <w:rFonts w:cs="Poppins"/>
                <w:i/>
                <w:iCs/>
              </w:rPr>
              <w:t xml:space="preserve"> and CMP435 are approved by Ofgem</w:t>
            </w:r>
            <w:r w:rsidR="001D23DD">
              <w:rPr>
                <w:rFonts w:cs="Poppins"/>
                <w:i/>
                <w:iCs/>
              </w:rPr>
              <w:t xml:space="preserve"> if the Methodologies are to be brought into force</w:t>
            </w:r>
            <w:r w:rsidR="00480D73">
              <w:rPr>
                <w:rFonts w:cs="Poppins"/>
                <w:i/>
                <w:iCs/>
              </w:rPr>
              <w:t>)</w:t>
            </w:r>
            <w:r w:rsidR="001D23DD">
              <w:rPr>
                <w:rFonts w:cs="Poppins"/>
                <w:i/>
                <w:iCs/>
              </w:rPr>
              <w:t>.</w:t>
            </w:r>
          </w:p>
        </w:tc>
      </w:tr>
    </w:tbl>
    <w:p w14:paraId="228B8DA8" w14:textId="77777777" w:rsidR="00181BAB" w:rsidRDefault="00181BAB" w:rsidP="00696037">
      <w:pPr>
        <w:tabs>
          <w:tab w:val="left" w:pos="2120"/>
        </w:tabs>
        <w:rPr>
          <w:b/>
          <w:bCs/>
        </w:rPr>
      </w:pPr>
    </w:p>
    <w:tbl>
      <w:tblPr>
        <w:tblStyle w:val="TableGrid"/>
        <w:tblW w:w="0" w:type="auto"/>
        <w:tblLook w:val="04A0" w:firstRow="1" w:lastRow="0" w:firstColumn="1" w:lastColumn="0" w:noHBand="0" w:noVBand="1"/>
      </w:tblPr>
      <w:tblGrid>
        <w:gridCol w:w="9742"/>
      </w:tblGrid>
      <w:tr w:rsidR="00980121" w:rsidRPr="00DE064B" w14:paraId="44BC71F1" w14:textId="77777777" w:rsidTr="00FF3DAE">
        <w:tc>
          <w:tcPr>
            <w:tcW w:w="9742" w:type="dxa"/>
          </w:tcPr>
          <w:p w14:paraId="18064CC9" w14:textId="6E94ABA3" w:rsidR="00980121" w:rsidRPr="00DA2A69" w:rsidRDefault="001208CB" w:rsidP="00FF3DAE">
            <w:pPr>
              <w:pStyle w:val="BodyText"/>
              <w:rPr>
                <w:rFonts w:cs="Poppins"/>
                <w:b/>
                <w:bCs/>
              </w:rPr>
            </w:pPr>
            <w:r w:rsidRPr="00DA2A69">
              <w:rPr>
                <w:rFonts w:cs="Poppins"/>
                <w:b/>
                <w:bCs/>
              </w:rPr>
              <w:t>Connections Network Design Methodology</w:t>
            </w:r>
          </w:p>
        </w:tc>
      </w:tr>
      <w:tr w:rsidR="00980121" w:rsidRPr="00406CA9" w14:paraId="02920569" w14:textId="77777777" w:rsidTr="00FF3DAE">
        <w:tc>
          <w:tcPr>
            <w:tcW w:w="9742" w:type="dxa"/>
          </w:tcPr>
          <w:p w14:paraId="7143A4A5" w14:textId="66DFFBDC" w:rsidR="003E0131" w:rsidRDefault="001E6AF8" w:rsidP="000D085F">
            <w:pPr>
              <w:pStyle w:val="BodyText"/>
              <w:rPr>
                <w:rFonts w:cs="Poppins"/>
                <w:i/>
                <w:iCs/>
              </w:rPr>
            </w:pPr>
            <w:r>
              <w:rPr>
                <w:rFonts w:cs="Poppins"/>
                <w:i/>
                <w:iCs/>
              </w:rPr>
              <w:t xml:space="preserve">Section 4.2.3, </w:t>
            </w:r>
            <w:r w:rsidR="00CD0CB6">
              <w:rPr>
                <w:rFonts w:cs="Poppins"/>
                <w:i/>
                <w:iCs/>
              </w:rPr>
              <w:t xml:space="preserve">add </w:t>
            </w:r>
            <w:r w:rsidR="003E0131">
              <w:rPr>
                <w:rFonts w:cs="Poppins"/>
                <w:i/>
                <w:iCs/>
              </w:rPr>
              <w:t xml:space="preserve">“List of </w:t>
            </w:r>
            <w:r w:rsidR="00AF6E96">
              <w:rPr>
                <w:rFonts w:cs="Poppins"/>
                <w:i/>
                <w:iCs/>
              </w:rPr>
              <w:t>Project Specific Reserved Bays and Reserved Capacity”</w:t>
            </w:r>
            <w:r w:rsidR="009672D1">
              <w:rPr>
                <w:rFonts w:cs="Poppins"/>
                <w:i/>
                <w:iCs/>
              </w:rPr>
              <w:t xml:space="preserve"> and “List of </w:t>
            </w:r>
            <w:r w:rsidR="00AF6E96">
              <w:rPr>
                <w:rFonts w:cs="Poppins"/>
                <w:i/>
                <w:iCs/>
              </w:rPr>
              <w:t>Non-</w:t>
            </w:r>
            <w:r w:rsidR="009672D1">
              <w:rPr>
                <w:rFonts w:cs="Poppins"/>
                <w:i/>
                <w:iCs/>
              </w:rPr>
              <w:t xml:space="preserve">Project </w:t>
            </w:r>
            <w:r w:rsidR="00AF6E96">
              <w:rPr>
                <w:rFonts w:cs="Poppins"/>
                <w:i/>
                <w:iCs/>
              </w:rPr>
              <w:t>Specific</w:t>
            </w:r>
            <w:r w:rsidR="009672D1">
              <w:rPr>
                <w:rFonts w:cs="Poppins"/>
                <w:i/>
                <w:iCs/>
              </w:rPr>
              <w:t xml:space="preserve"> Reserved Bays and </w:t>
            </w:r>
            <w:r w:rsidR="00AF6E96">
              <w:rPr>
                <w:rFonts w:cs="Poppins"/>
                <w:i/>
                <w:iCs/>
              </w:rPr>
              <w:t>Reserved</w:t>
            </w:r>
            <w:r w:rsidR="009672D1">
              <w:rPr>
                <w:rFonts w:cs="Poppins"/>
                <w:i/>
                <w:iCs/>
              </w:rPr>
              <w:t xml:space="preserve"> Capacity</w:t>
            </w:r>
            <w:r w:rsidR="00ED5F6D">
              <w:rPr>
                <w:rFonts w:cs="Poppins"/>
                <w:i/>
                <w:iCs/>
              </w:rPr>
              <w:t>.</w:t>
            </w:r>
          </w:p>
          <w:p w14:paraId="62DA9B6B" w14:textId="757CFFEB" w:rsidR="004C6208" w:rsidRDefault="003E0131" w:rsidP="000D085F">
            <w:pPr>
              <w:pStyle w:val="BodyText"/>
              <w:rPr>
                <w:rFonts w:cs="Poppins"/>
                <w:i/>
                <w:iCs/>
              </w:rPr>
            </w:pPr>
            <w:r>
              <w:rPr>
                <w:rFonts w:cs="Poppins"/>
                <w:i/>
                <w:iCs/>
              </w:rPr>
              <w:t>Note that in respe</w:t>
            </w:r>
            <w:r w:rsidR="00AF6E96">
              <w:rPr>
                <w:rFonts w:cs="Poppins"/>
                <w:i/>
                <w:iCs/>
              </w:rPr>
              <w:t>c</w:t>
            </w:r>
            <w:r>
              <w:rPr>
                <w:rFonts w:cs="Poppins"/>
                <w:i/>
                <w:iCs/>
              </w:rPr>
              <w:t>t of “Project Development Status</w:t>
            </w:r>
            <w:r w:rsidR="00284C1D">
              <w:rPr>
                <w:rFonts w:cs="Poppins"/>
                <w:i/>
                <w:iCs/>
              </w:rPr>
              <w:t xml:space="preserve">” </w:t>
            </w:r>
            <w:r w:rsidR="00CD0CB6">
              <w:rPr>
                <w:rFonts w:cs="Poppins"/>
                <w:i/>
                <w:iCs/>
              </w:rPr>
              <w:t xml:space="preserve">NESO should </w:t>
            </w:r>
            <w:r w:rsidR="00284C1D">
              <w:rPr>
                <w:rFonts w:cs="Poppins"/>
                <w:i/>
                <w:iCs/>
              </w:rPr>
              <w:t xml:space="preserve">explain how they </w:t>
            </w:r>
            <w:r w:rsidR="006463E4">
              <w:rPr>
                <w:rFonts w:cs="Poppins"/>
                <w:i/>
                <w:iCs/>
              </w:rPr>
              <w:t>will</w:t>
            </w:r>
            <w:r w:rsidR="00284C1D">
              <w:rPr>
                <w:rFonts w:cs="Poppins"/>
                <w:i/>
                <w:iCs/>
              </w:rPr>
              <w:t xml:space="preserve"> establish this (and at what point in time it refers to).  </w:t>
            </w:r>
          </w:p>
          <w:p w14:paraId="5D39D2E8" w14:textId="77777777" w:rsidR="00980121" w:rsidRDefault="00284C1D" w:rsidP="000D085F">
            <w:pPr>
              <w:pStyle w:val="BodyText"/>
              <w:rPr>
                <w:rFonts w:cs="Poppins"/>
                <w:i/>
                <w:iCs/>
              </w:rPr>
            </w:pPr>
            <w:r>
              <w:rPr>
                <w:rFonts w:cs="Poppins"/>
                <w:i/>
                <w:iCs/>
              </w:rPr>
              <w:t>Once the</w:t>
            </w:r>
            <w:r w:rsidR="004C6208">
              <w:rPr>
                <w:rFonts w:cs="Poppins"/>
                <w:i/>
                <w:iCs/>
              </w:rPr>
              <w:t>se</w:t>
            </w:r>
            <w:r>
              <w:rPr>
                <w:rFonts w:cs="Poppins"/>
                <w:i/>
                <w:iCs/>
              </w:rPr>
              <w:t xml:space="preserve"> lists </w:t>
            </w:r>
            <w:r w:rsidR="00381D60">
              <w:rPr>
                <w:rFonts w:cs="Poppins"/>
                <w:i/>
                <w:iCs/>
              </w:rPr>
              <w:t>(including the “</w:t>
            </w:r>
            <w:r w:rsidR="00566490">
              <w:rPr>
                <w:rFonts w:cs="Poppins"/>
                <w:i/>
                <w:iCs/>
              </w:rPr>
              <w:t>original</w:t>
            </w:r>
            <w:r w:rsidR="00381D60">
              <w:rPr>
                <w:rFonts w:cs="Poppins"/>
                <w:i/>
                <w:iCs/>
              </w:rPr>
              <w:t xml:space="preserve"> queue</w:t>
            </w:r>
            <w:r w:rsidR="00566490">
              <w:rPr>
                <w:rFonts w:cs="Poppins"/>
                <w:i/>
                <w:iCs/>
              </w:rPr>
              <w:t xml:space="preserve"> position</w:t>
            </w:r>
            <w:r w:rsidR="00381D60">
              <w:rPr>
                <w:rFonts w:cs="Poppins"/>
                <w:i/>
                <w:iCs/>
              </w:rPr>
              <w:t>”</w:t>
            </w:r>
            <w:r w:rsidR="00566490">
              <w:rPr>
                <w:rFonts w:cs="Poppins"/>
                <w:i/>
                <w:iCs/>
              </w:rPr>
              <w:t xml:space="preserve"> dates</w:t>
            </w:r>
            <w:r w:rsidR="00381D60">
              <w:rPr>
                <w:rFonts w:cs="Poppins"/>
                <w:i/>
                <w:iCs/>
              </w:rPr>
              <w:t xml:space="preserve">) </w:t>
            </w:r>
            <w:r w:rsidR="004C6208">
              <w:rPr>
                <w:rFonts w:cs="Poppins"/>
                <w:i/>
                <w:iCs/>
              </w:rPr>
              <w:t xml:space="preserve">are </w:t>
            </w:r>
            <w:r w:rsidR="006463E4">
              <w:rPr>
                <w:rFonts w:cs="Poppins"/>
                <w:i/>
                <w:iCs/>
              </w:rPr>
              <w:t>published</w:t>
            </w:r>
            <w:r>
              <w:rPr>
                <w:rFonts w:cs="Poppins"/>
                <w:i/>
                <w:iCs/>
              </w:rPr>
              <w:t xml:space="preserve"> Users should then</w:t>
            </w:r>
            <w:r w:rsidR="00367404">
              <w:rPr>
                <w:rFonts w:cs="Poppins"/>
                <w:i/>
                <w:iCs/>
              </w:rPr>
              <w:t xml:space="preserve"> have an opportunity to challenge t</w:t>
            </w:r>
            <w:r w:rsidR="00381D60">
              <w:rPr>
                <w:rFonts w:cs="Poppins"/>
                <w:i/>
                <w:iCs/>
              </w:rPr>
              <w:t>hem</w:t>
            </w:r>
            <w:r w:rsidR="00367404">
              <w:rPr>
                <w:rFonts w:cs="Poppins"/>
                <w:i/>
                <w:iCs/>
              </w:rPr>
              <w:t xml:space="preserve"> if incorrectly recorded.</w:t>
            </w:r>
          </w:p>
          <w:p w14:paraId="78F47158" w14:textId="57796336" w:rsidR="00D15282" w:rsidRDefault="00D15282" w:rsidP="000D085F">
            <w:pPr>
              <w:pStyle w:val="BodyText"/>
              <w:rPr>
                <w:rFonts w:cs="Poppins"/>
                <w:i/>
                <w:iCs/>
              </w:rPr>
            </w:pPr>
            <w:r>
              <w:rPr>
                <w:rFonts w:cs="Poppins"/>
                <w:i/>
                <w:iCs/>
              </w:rPr>
              <w:t xml:space="preserve">Section </w:t>
            </w:r>
            <w:r w:rsidR="00B42580">
              <w:rPr>
                <w:rFonts w:cs="Poppins"/>
                <w:i/>
                <w:iCs/>
              </w:rPr>
              <w:t>5</w:t>
            </w:r>
            <w:r w:rsidR="00042343">
              <w:rPr>
                <w:rFonts w:cs="Poppins"/>
                <w:i/>
                <w:iCs/>
              </w:rPr>
              <w:t>.4.3</w:t>
            </w:r>
            <w:r w:rsidR="002B79E0">
              <w:rPr>
                <w:rFonts w:cs="Poppins"/>
                <w:i/>
                <w:iCs/>
              </w:rPr>
              <w:t>,</w:t>
            </w:r>
            <w:r w:rsidR="00042343">
              <w:rPr>
                <w:rFonts w:cs="Poppins"/>
                <w:i/>
                <w:iCs/>
              </w:rPr>
              <w:t xml:space="preserve"> as the Methodology will be finalised after the CP30 plan is finalised it is assumed that this will be updated </w:t>
            </w:r>
            <w:r w:rsidR="00744A75">
              <w:rPr>
                <w:rFonts w:cs="Poppins"/>
                <w:i/>
                <w:iCs/>
              </w:rPr>
              <w:t>to conf</w:t>
            </w:r>
            <w:r w:rsidR="002B79E0">
              <w:rPr>
                <w:rFonts w:cs="Poppins"/>
                <w:i/>
                <w:iCs/>
              </w:rPr>
              <w:t>o</w:t>
            </w:r>
            <w:r w:rsidR="00744A75">
              <w:rPr>
                <w:rFonts w:cs="Poppins"/>
                <w:i/>
                <w:iCs/>
              </w:rPr>
              <w:t>rm to the plan</w:t>
            </w:r>
            <w:r w:rsidR="00ED5F6D">
              <w:rPr>
                <w:rFonts w:cs="Poppins"/>
                <w:i/>
                <w:iCs/>
              </w:rPr>
              <w:t>.</w:t>
            </w:r>
          </w:p>
          <w:p w14:paraId="57FA60C2" w14:textId="1C3FD274" w:rsidR="00744A75" w:rsidRDefault="00744A75" w:rsidP="000D085F">
            <w:pPr>
              <w:pStyle w:val="BodyText"/>
              <w:rPr>
                <w:rFonts w:cs="Poppins"/>
                <w:i/>
                <w:iCs/>
              </w:rPr>
            </w:pPr>
            <w:r>
              <w:rPr>
                <w:rFonts w:cs="Poppins"/>
                <w:i/>
                <w:iCs/>
              </w:rPr>
              <w:t xml:space="preserve">Section </w:t>
            </w:r>
            <w:r w:rsidR="00B42580">
              <w:rPr>
                <w:rFonts w:cs="Poppins"/>
                <w:i/>
                <w:iCs/>
              </w:rPr>
              <w:t xml:space="preserve">5.4.5 add in the </w:t>
            </w:r>
            <w:r w:rsidR="000D02AE">
              <w:rPr>
                <w:rFonts w:cs="Poppins"/>
                <w:i/>
                <w:iCs/>
              </w:rPr>
              <w:t>arrangements</w:t>
            </w:r>
            <w:r w:rsidR="00B42580">
              <w:rPr>
                <w:rFonts w:cs="Poppins"/>
                <w:i/>
                <w:iCs/>
              </w:rPr>
              <w:t xml:space="preserve"> for IDNOs which </w:t>
            </w:r>
            <w:r w:rsidR="00BD2F5D">
              <w:rPr>
                <w:rFonts w:cs="Poppins"/>
                <w:i/>
                <w:iCs/>
              </w:rPr>
              <w:t xml:space="preserve">I </w:t>
            </w:r>
            <w:r w:rsidR="000D02AE">
              <w:rPr>
                <w:rFonts w:cs="Poppins"/>
                <w:i/>
                <w:iCs/>
              </w:rPr>
              <w:t>understand</w:t>
            </w:r>
            <w:r w:rsidR="007E7E41">
              <w:rPr>
                <w:rFonts w:cs="Poppins"/>
                <w:i/>
                <w:iCs/>
              </w:rPr>
              <w:t xml:space="preserve"> are different</w:t>
            </w:r>
            <w:r w:rsidR="00ED5F6D">
              <w:rPr>
                <w:rFonts w:cs="Poppins"/>
                <w:i/>
                <w:iCs/>
              </w:rPr>
              <w:t>.</w:t>
            </w:r>
          </w:p>
          <w:p w14:paraId="221A716F" w14:textId="77777777" w:rsidR="00F1146E" w:rsidRDefault="00F1146E" w:rsidP="000D085F">
            <w:pPr>
              <w:pStyle w:val="BodyText"/>
              <w:rPr>
                <w:rFonts w:cs="Poppins"/>
                <w:i/>
                <w:iCs/>
              </w:rPr>
            </w:pPr>
            <w:r>
              <w:rPr>
                <w:rFonts w:cs="Poppins"/>
                <w:i/>
                <w:iCs/>
              </w:rPr>
              <w:t>Section 5.4.8 can NESO explain what “reasonable” means in this context?</w:t>
            </w:r>
          </w:p>
          <w:p w14:paraId="100A7042" w14:textId="7DC57C55" w:rsidR="008D2A50" w:rsidRDefault="008D2A50" w:rsidP="000D085F">
            <w:pPr>
              <w:pStyle w:val="BodyText"/>
              <w:rPr>
                <w:rFonts w:cs="Poppins"/>
                <w:i/>
                <w:iCs/>
              </w:rPr>
            </w:pPr>
            <w:r>
              <w:rPr>
                <w:rFonts w:cs="Poppins"/>
                <w:i/>
                <w:iCs/>
              </w:rPr>
              <w:t>Sections 5.8.1 and 5.8.2 would appear to be in conflict</w:t>
            </w:r>
            <w:r w:rsidR="00ED5F6D">
              <w:rPr>
                <w:rFonts w:cs="Poppins"/>
                <w:i/>
                <w:iCs/>
              </w:rPr>
              <w:t>.</w:t>
            </w:r>
          </w:p>
          <w:p w14:paraId="18582B1A" w14:textId="6DFF839C" w:rsidR="008D2A50" w:rsidRDefault="00940727" w:rsidP="000D085F">
            <w:pPr>
              <w:pStyle w:val="BodyText"/>
              <w:rPr>
                <w:rFonts w:cs="Poppins"/>
                <w:i/>
                <w:iCs/>
              </w:rPr>
            </w:pPr>
            <w:r>
              <w:rPr>
                <w:rFonts w:cs="Poppins"/>
                <w:i/>
                <w:iCs/>
              </w:rPr>
              <w:t>Section 5.10.2, can NESO confirm whether this means that</w:t>
            </w:r>
            <w:r w:rsidR="002B79E0">
              <w:rPr>
                <w:rFonts w:cs="Poppins"/>
                <w:i/>
                <w:iCs/>
              </w:rPr>
              <w:t xml:space="preserve"> demand</w:t>
            </w:r>
            <w:r>
              <w:rPr>
                <w:rFonts w:cs="Poppins"/>
                <w:i/>
                <w:iCs/>
              </w:rPr>
              <w:t xml:space="preserve"> projects </w:t>
            </w:r>
            <w:r w:rsidR="000D02AE">
              <w:rPr>
                <w:rFonts w:cs="Poppins"/>
                <w:i/>
                <w:iCs/>
              </w:rPr>
              <w:t>outwith</w:t>
            </w:r>
            <w:r w:rsidR="00805F4C">
              <w:rPr>
                <w:rFonts w:cs="Poppins"/>
                <w:i/>
                <w:iCs/>
              </w:rPr>
              <w:t xml:space="preserve"> the plan </w:t>
            </w:r>
            <w:r>
              <w:rPr>
                <w:rFonts w:cs="Poppins"/>
                <w:i/>
                <w:iCs/>
              </w:rPr>
              <w:t xml:space="preserve">will have a higher or lower </w:t>
            </w:r>
            <w:r w:rsidR="000D02AE">
              <w:rPr>
                <w:rFonts w:cs="Poppins"/>
                <w:i/>
                <w:iCs/>
              </w:rPr>
              <w:t>priority</w:t>
            </w:r>
            <w:r>
              <w:rPr>
                <w:rFonts w:cs="Poppins"/>
                <w:i/>
                <w:iCs/>
              </w:rPr>
              <w:t xml:space="preserve"> than the demand projects</w:t>
            </w:r>
            <w:r w:rsidR="006E2D82">
              <w:rPr>
                <w:rFonts w:cs="Poppins"/>
                <w:i/>
                <w:iCs/>
              </w:rPr>
              <w:t xml:space="preserve"> that are in the CP30 plan, and if how such priority will be determined?</w:t>
            </w:r>
            <w:r w:rsidR="00805F4C">
              <w:rPr>
                <w:rFonts w:cs="Poppins"/>
                <w:i/>
                <w:iCs/>
              </w:rPr>
              <w:t xml:space="preserve">  As embedded demand </w:t>
            </w:r>
            <w:r w:rsidR="000D02AE">
              <w:rPr>
                <w:rFonts w:cs="Poppins"/>
                <w:i/>
                <w:iCs/>
              </w:rPr>
              <w:t>projects</w:t>
            </w:r>
            <w:r w:rsidR="00805F4C">
              <w:rPr>
                <w:rFonts w:cs="Poppins"/>
                <w:i/>
                <w:iCs/>
              </w:rPr>
              <w:t xml:space="preserve"> are being assessed on a BAU basis it is in any </w:t>
            </w:r>
            <w:r w:rsidR="000D02AE">
              <w:rPr>
                <w:rFonts w:cs="Poppins"/>
                <w:i/>
                <w:iCs/>
              </w:rPr>
              <w:t>event</w:t>
            </w:r>
            <w:r w:rsidR="00805F4C">
              <w:rPr>
                <w:rFonts w:cs="Poppins"/>
                <w:i/>
                <w:iCs/>
              </w:rPr>
              <w:t xml:space="preserve"> assumed that these have a higher priority tha</w:t>
            </w:r>
            <w:r w:rsidR="000217B7">
              <w:rPr>
                <w:rFonts w:cs="Poppins"/>
                <w:i/>
                <w:iCs/>
              </w:rPr>
              <w:t>n</w:t>
            </w:r>
            <w:r w:rsidR="00805F4C">
              <w:rPr>
                <w:rFonts w:cs="Poppins"/>
                <w:i/>
                <w:iCs/>
              </w:rPr>
              <w:t xml:space="preserve"> </w:t>
            </w:r>
            <w:r w:rsidR="007E4A98">
              <w:rPr>
                <w:rFonts w:cs="Poppins"/>
                <w:i/>
                <w:iCs/>
              </w:rPr>
              <w:t>both, but it would be helpful to have this confirmed.</w:t>
            </w:r>
          </w:p>
          <w:p w14:paraId="0531C097" w14:textId="01F060FD" w:rsidR="007E4A98" w:rsidRDefault="007E4A98" w:rsidP="000D085F">
            <w:pPr>
              <w:pStyle w:val="BodyText"/>
              <w:rPr>
                <w:rFonts w:cs="Poppins"/>
                <w:i/>
                <w:iCs/>
              </w:rPr>
            </w:pPr>
            <w:r>
              <w:rPr>
                <w:rFonts w:cs="Poppins"/>
                <w:i/>
                <w:iCs/>
              </w:rPr>
              <w:t>Section 5.11 can you please define “Hybrid project”</w:t>
            </w:r>
            <w:r w:rsidR="00D747C3">
              <w:rPr>
                <w:rFonts w:cs="Poppins"/>
                <w:i/>
                <w:iCs/>
              </w:rPr>
              <w:t xml:space="preserve">?  </w:t>
            </w:r>
            <w:r w:rsidR="00BD2F5D">
              <w:rPr>
                <w:rFonts w:cs="Poppins"/>
                <w:i/>
                <w:iCs/>
              </w:rPr>
              <w:t>I</w:t>
            </w:r>
            <w:r w:rsidR="00D747C3">
              <w:rPr>
                <w:rFonts w:cs="Poppins"/>
                <w:i/>
                <w:iCs/>
              </w:rPr>
              <w:t xml:space="preserve"> assume it is different to “</w:t>
            </w:r>
            <w:r w:rsidR="004F6D04">
              <w:rPr>
                <w:rFonts w:cs="Poppins"/>
                <w:i/>
                <w:iCs/>
              </w:rPr>
              <w:t>O</w:t>
            </w:r>
            <w:r w:rsidR="00D747C3" w:rsidRPr="00D747C3">
              <w:rPr>
                <w:rFonts w:cs="Poppins"/>
                <w:i/>
                <w:iCs/>
              </w:rPr>
              <w:t>ffshore Hybrid Asset</w:t>
            </w:r>
            <w:r w:rsidR="000217B7">
              <w:rPr>
                <w:rFonts w:cs="Poppins"/>
                <w:i/>
                <w:iCs/>
              </w:rPr>
              <w:t>”</w:t>
            </w:r>
            <w:r w:rsidR="004F6D04">
              <w:rPr>
                <w:rFonts w:cs="Poppins"/>
                <w:i/>
                <w:iCs/>
              </w:rPr>
              <w:t xml:space="preserve"> referenced in section 6.3.5</w:t>
            </w:r>
            <w:r w:rsidR="00ED5F6D">
              <w:rPr>
                <w:rFonts w:cs="Poppins"/>
                <w:i/>
                <w:iCs/>
              </w:rPr>
              <w:t>.</w:t>
            </w:r>
          </w:p>
          <w:p w14:paraId="6A969150" w14:textId="77777777" w:rsidR="004F6D17" w:rsidRDefault="004F6D17" w:rsidP="00ED5903">
            <w:pPr>
              <w:pStyle w:val="BodyText"/>
              <w:rPr>
                <w:rFonts w:cs="Poppins"/>
                <w:i/>
                <w:iCs/>
              </w:rPr>
            </w:pPr>
            <w:r>
              <w:rPr>
                <w:rFonts w:cs="Poppins"/>
                <w:i/>
                <w:iCs/>
              </w:rPr>
              <w:t xml:space="preserve">Section 5.12.2 says </w:t>
            </w:r>
            <w:r w:rsidR="00ED5903">
              <w:rPr>
                <w:rFonts w:cs="Poppins"/>
                <w:i/>
                <w:iCs/>
              </w:rPr>
              <w:t>“</w:t>
            </w:r>
            <w:r w:rsidR="00ED5903" w:rsidRPr="00ED5903">
              <w:rPr>
                <w:rFonts w:cs="Poppins"/>
                <w:i/>
                <w:iCs/>
              </w:rPr>
              <w:t>Users that have requested a change in</w:t>
            </w:r>
            <w:r w:rsidR="00ED5903">
              <w:rPr>
                <w:rFonts w:cs="Poppins"/>
                <w:i/>
                <w:iCs/>
              </w:rPr>
              <w:t xml:space="preserve"> </w:t>
            </w:r>
            <w:r w:rsidR="00ED5903" w:rsidRPr="00ED5903">
              <w:rPr>
                <w:rFonts w:cs="Poppins"/>
                <w:i/>
                <w:iCs/>
              </w:rPr>
              <w:t>technology as part of their Modification Application are in most cases likely to be moved to this revised queue position</w:t>
            </w:r>
            <w:r w:rsidR="00ED5903">
              <w:rPr>
                <w:rFonts w:cs="Poppins"/>
                <w:i/>
                <w:iCs/>
              </w:rPr>
              <w:t>”.  Can you explain why this is “</w:t>
            </w:r>
            <w:r w:rsidR="005D5A90">
              <w:rPr>
                <w:rFonts w:cs="Poppins"/>
                <w:i/>
                <w:iCs/>
              </w:rPr>
              <w:t>most cases”, and under what circumstances they would not?</w:t>
            </w:r>
          </w:p>
          <w:p w14:paraId="60F24306" w14:textId="71B83B49" w:rsidR="00874880" w:rsidRDefault="00874880" w:rsidP="00ED5903">
            <w:pPr>
              <w:pStyle w:val="BodyText"/>
              <w:rPr>
                <w:rFonts w:cs="Poppins"/>
                <w:i/>
                <w:iCs/>
              </w:rPr>
            </w:pPr>
            <w:r>
              <w:rPr>
                <w:rFonts w:cs="Poppins"/>
                <w:i/>
                <w:iCs/>
              </w:rPr>
              <w:t>Section 5.13 can you please define “Holding Agreement”?</w:t>
            </w:r>
          </w:p>
          <w:p w14:paraId="6CBBDE2B" w14:textId="3680B018" w:rsidR="00874880" w:rsidRDefault="007E2282" w:rsidP="0012668C">
            <w:pPr>
              <w:pStyle w:val="BodyText"/>
              <w:rPr>
                <w:rFonts w:cs="Poppins"/>
                <w:i/>
                <w:iCs/>
              </w:rPr>
            </w:pPr>
            <w:r>
              <w:rPr>
                <w:rFonts w:cs="Poppins"/>
                <w:i/>
                <w:iCs/>
              </w:rPr>
              <w:t xml:space="preserve">Section </w:t>
            </w:r>
            <w:r w:rsidR="002149B6">
              <w:rPr>
                <w:rFonts w:cs="Poppins"/>
                <w:i/>
                <w:iCs/>
              </w:rPr>
              <w:t xml:space="preserve">5.18.4, </w:t>
            </w:r>
            <w:proofErr w:type="gramStart"/>
            <w:r w:rsidR="002149B6">
              <w:rPr>
                <w:rFonts w:cs="Poppins"/>
                <w:i/>
                <w:iCs/>
              </w:rPr>
              <w:t>assuming that</w:t>
            </w:r>
            <w:proofErr w:type="gramEnd"/>
            <w:r w:rsidR="002149B6">
              <w:rPr>
                <w:rFonts w:cs="Poppins"/>
                <w:i/>
                <w:iCs/>
              </w:rPr>
              <w:t xml:space="preserve"> the CUSC </w:t>
            </w:r>
            <w:r w:rsidR="00C8428D">
              <w:rPr>
                <w:rFonts w:cs="Poppins"/>
                <w:i/>
                <w:iCs/>
              </w:rPr>
              <w:t>arrangements</w:t>
            </w:r>
            <w:r w:rsidR="002149B6">
              <w:rPr>
                <w:rFonts w:cs="Poppins"/>
                <w:i/>
                <w:iCs/>
              </w:rPr>
              <w:t xml:space="preserve"> </w:t>
            </w:r>
            <w:r w:rsidR="00FE550E">
              <w:rPr>
                <w:rFonts w:cs="Poppins"/>
                <w:i/>
                <w:iCs/>
              </w:rPr>
              <w:t>still</w:t>
            </w:r>
            <w:r w:rsidR="002149B6">
              <w:rPr>
                <w:rFonts w:cs="Poppins"/>
                <w:i/>
                <w:iCs/>
              </w:rPr>
              <w:t xml:space="preserve"> take priority over the CNDM, </w:t>
            </w:r>
            <w:r w:rsidR="004819DE">
              <w:rPr>
                <w:rFonts w:cs="Poppins"/>
                <w:i/>
                <w:iCs/>
              </w:rPr>
              <w:t xml:space="preserve">the text should say that </w:t>
            </w:r>
            <w:r w:rsidR="00467C21">
              <w:rPr>
                <w:rFonts w:cs="Poppins"/>
                <w:i/>
                <w:iCs/>
              </w:rPr>
              <w:t>categorisation</w:t>
            </w:r>
            <w:r w:rsidR="002149B6">
              <w:rPr>
                <w:rFonts w:cs="Poppins"/>
                <w:i/>
                <w:iCs/>
              </w:rPr>
              <w:t xml:space="preserve"> into </w:t>
            </w:r>
            <w:r w:rsidR="00467C21" w:rsidRPr="00467C21">
              <w:rPr>
                <w:rFonts w:cs="Poppins"/>
                <w:i/>
                <w:iCs/>
              </w:rPr>
              <w:t>enabling and wider works will be</w:t>
            </w:r>
            <w:r w:rsidR="00467C21">
              <w:rPr>
                <w:rFonts w:cs="Poppins"/>
                <w:i/>
                <w:iCs/>
              </w:rPr>
              <w:t xml:space="preserve"> “in accordance with</w:t>
            </w:r>
            <w:r w:rsidR="0012668C">
              <w:t xml:space="preserve"> </w:t>
            </w:r>
            <w:r w:rsidR="0012668C" w:rsidRPr="0012668C">
              <w:rPr>
                <w:rFonts w:cs="Poppins"/>
                <w:i/>
                <w:iCs/>
              </w:rPr>
              <w:t>Connect and Manage</w:t>
            </w:r>
            <w:r w:rsidR="0012668C">
              <w:rPr>
                <w:rFonts w:cs="Poppins"/>
                <w:i/>
                <w:iCs/>
              </w:rPr>
              <w:t xml:space="preserve"> </w:t>
            </w:r>
            <w:r w:rsidR="0012668C" w:rsidRPr="0012668C">
              <w:rPr>
                <w:rFonts w:cs="Poppins"/>
                <w:i/>
                <w:iCs/>
              </w:rPr>
              <w:t>Arrangements</w:t>
            </w:r>
            <w:r w:rsidR="00467C21">
              <w:rPr>
                <w:rFonts w:cs="Poppins"/>
                <w:i/>
                <w:iCs/>
              </w:rPr>
              <w:t xml:space="preserve"> </w:t>
            </w:r>
            <w:r w:rsidR="0012668C">
              <w:rPr>
                <w:rFonts w:cs="Poppins"/>
                <w:i/>
                <w:iCs/>
              </w:rPr>
              <w:t>(as defined in CUSC)”</w:t>
            </w:r>
            <w:r w:rsidR="00ED5F6D">
              <w:rPr>
                <w:rFonts w:cs="Poppins"/>
                <w:i/>
                <w:iCs/>
              </w:rPr>
              <w:t>.</w:t>
            </w:r>
          </w:p>
          <w:p w14:paraId="6C84E058" w14:textId="08432C7D" w:rsidR="005C0BD5" w:rsidRDefault="00D7728C" w:rsidP="0012668C">
            <w:pPr>
              <w:pStyle w:val="BodyText"/>
              <w:rPr>
                <w:rFonts w:cs="Poppins"/>
                <w:i/>
                <w:iCs/>
              </w:rPr>
            </w:pPr>
            <w:r>
              <w:rPr>
                <w:rFonts w:cs="Poppins"/>
                <w:i/>
                <w:iCs/>
              </w:rPr>
              <w:t xml:space="preserve">Section 5.19, </w:t>
            </w:r>
            <w:r w:rsidR="00C8428D">
              <w:rPr>
                <w:rFonts w:cs="Poppins"/>
                <w:i/>
                <w:iCs/>
              </w:rPr>
              <w:t>figure</w:t>
            </w:r>
            <w:r>
              <w:rPr>
                <w:rFonts w:cs="Poppins"/>
                <w:i/>
                <w:iCs/>
              </w:rPr>
              <w:t xml:space="preserve"> 10 needs more </w:t>
            </w:r>
            <w:r w:rsidR="00C8428D">
              <w:rPr>
                <w:rFonts w:cs="Poppins"/>
                <w:i/>
                <w:iCs/>
              </w:rPr>
              <w:t>clarification</w:t>
            </w:r>
            <w:r>
              <w:rPr>
                <w:rFonts w:cs="Poppins"/>
                <w:i/>
                <w:iCs/>
              </w:rPr>
              <w:t xml:space="preserve">, </w:t>
            </w:r>
            <w:r w:rsidR="00FE550E">
              <w:rPr>
                <w:rFonts w:cs="Poppins"/>
                <w:i/>
                <w:iCs/>
              </w:rPr>
              <w:t>especially</w:t>
            </w:r>
            <w:r>
              <w:rPr>
                <w:rFonts w:cs="Poppins"/>
                <w:i/>
                <w:iCs/>
              </w:rPr>
              <w:t xml:space="preserve"> the </w:t>
            </w:r>
            <w:r w:rsidR="00757A76">
              <w:rPr>
                <w:rFonts w:cs="Poppins"/>
                <w:i/>
                <w:iCs/>
              </w:rPr>
              <w:t>significance</w:t>
            </w:r>
            <w:r>
              <w:rPr>
                <w:rFonts w:cs="Poppins"/>
                <w:i/>
                <w:iCs/>
              </w:rPr>
              <w:t xml:space="preserve"> of the </w:t>
            </w:r>
            <w:r w:rsidR="00102A20">
              <w:rPr>
                <w:rFonts w:cs="Poppins"/>
                <w:i/>
                <w:iCs/>
              </w:rPr>
              <w:t xml:space="preserve">“blue” </w:t>
            </w:r>
            <w:r w:rsidR="00C8428D">
              <w:rPr>
                <w:rFonts w:cs="Poppins"/>
                <w:i/>
                <w:iCs/>
              </w:rPr>
              <w:t>projects</w:t>
            </w:r>
            <w:r w:rsidR="00102A20">
              <w:rPr>
                <w:rFonts w:cs="Poppins"/>
                <w:i/>
                <w:iCs/>
              </w:rPr>
              <w:t xml:space="preserve"> and why </w:t>
            </w:r>
            <w:r w:rsidR="00FE550E">
              <w:rPr>
                <w:rFonts w:cs="Poppins"/>
                <w:i/>
                <w:iCs/>
              </w:rPr>
              <w:t>project</w:t>
            </w:r>
            <w:r w:rsidR="00757A76">
              <w:rPr>
                <w:rFonts w:cs="Poppins"/>
                <w:i/>
                <w:iCs/>
              </w:rPr>
              <w:t>s</w:t>
            </w:r>
            <w:r w:rsidR="00102A20">
              <w:rPr>
                <w:rFonts w:cs="Poppins"/>
                <w:i/>
                <w:iCs/>
              </w:rPr>
              <w:t xml:space="preserve"> 7 and 9 are not eligible for early connection under technical limits</w:t>
            </w:r>
          </w:p>
          <w:p w14:paraId="7ED0B833" w14:textId="7B4C6F7D" w:rsidR="009C48B6" w:rsidRDefault="00C45CF1" w:rsidP="0012668C">
            <w:pPr>
              <w:pStyle w:val="BodyText"/>
              <w:rPr>
                <w:rFonts w:cs="Poppins"/>
                <w:i/>
                <w:iCs/>
              </w:rPr>
            </w:pPr>
            <w:r>
              <w:rPr>
                <w:rFonts w:cs="Poppins"/>
                <w:i/>
                <w:iCs/>
              </w:rPr>
              <w:t>Section 5.20.6, the hyperlink to 5.18.3 does not contain an example of how this works</w:t>
            </w:r>
            <w:r w:rsidR="00ED5F6D">
              <w:rPr>
                <w:rFonts w:cs="Poppins"/>
                <w:i/>
                <w:iCs/>
              </w:rPr>
              <w:t>.</w:t>
            </w:r>
          </w:p>
          <w:p w14:paraId="0A558AFB" w14:textId="3E5DFB5B" w:rsidR="008D1331" w:rsidRDefault="008D1331" w:rsidP="0012668C">
            <w:pPr>
              <w:pStyle w:val="BodyText"/>
              <w:rPr>
                <w:rFonts w:cs="Poppins"/>
                <w:i/>
                <w:iCs/>
              </w:rPr>
            </w:pPr>
            <w:r>
              <w:rPr>
                <w:rFonts w:cs="Poppins"/>
                <w:i/>
                <w:iCs/>
              </w:rPr>
              <w:t xml:space="preserve">Section </w:t>
            </w:r>
            <w:r w:rsidR="001C7F90">
              <w:rPr>
                <w:rFonts w:cs="Poppins"/>
                <w:i/>
                <w:iCs/>
              </w:rPr>
              <w:t>5.20.</w:t>
            </w:r>
            <w:r w:rsidR="009C48B6">
              <w:rPr>
                <w:rFonts w:cs="Poppins"/>
                <w:i/>
                <w:iCs/>
              </w:rPr>
              <w:t>9</w:t>
            </w:r>
            <w:r w:rsidR="001C7F90">
              <w:rPr>
                <w:rFonts w:cs="Poppins"/>
                <w:i/>
                <w:iCs/>
              </w:rPr>
              <w:t>, the hyperlink to 5.</w:t>
            </w:r>
            <w:r w:rsidR="009C48B6">
              <w:rPr>
                <w:rFonts w:cs="Poppins"/>
                <w:i/>
                <w:iCs/>
              </w:rPr>
              <w:t>2</w:t>
            </w:r>
            <w:r w:rsidR="001C7F90">
              <w:rPr>
                <w:rFonts w:cs="Poppins"/>
                <w:i/>
                <w:iCs/>
              </w:rPr>
              <w:t>1 does not contain</w:t>
            </w:r>
            <w:r w:rsidR="009C48B6">
              <w:rPr>
                <w:rFonts w:cs="Poppins"/>
                <w:i/>
                <w:iCs/>
              </w:rPr>
              <w:t xml:space="preserve"> </w:t>
            </w:r>
            <w:r w:rsidR="001C7F90">
              <w:rPr>
                <w:rFonts w:cs="Poppins"/>
                <w:i/>
                <w:iCs/>
              </w:rPr>
              <w:t xml:space="preserve">an </w:t>
            </w:r>
            <w:r w:rsidR="00C8428D">
              <w:rPr>
                <w:rFonts w:cs="Poppins"/>
                <w:i/>
                <w:iCs/>
              </w:rPr>
              <w:t>explanation</w:t>
            </w:r>
            <w:r w:rsidR="00AE5C23">
              <w:rPr>
                <w:rFonts w:cs="Poppins"/>
                <w:i/>
                <w:iCs/>
              </w:rPr>
              <w:t xml:space="preserve"> of the concept</w:t>
            </w:r>
            <w:r w:rsidR="00ED5F6D">
              <w:rPr>
                <w:rFonts w:cs="Poppins"/>
                <w:i/>
                <w:iCs/>
              </w:rPr>
              <w:t>.</w:t>
            </w:r>
          </w:p>
          <w:p w14:paraId="55EEE929" w14:textId="2D4DC51C" w:rsidR="00AA1550" w:rsidRDefault="003A46C1" w:rsidP="0012668C">
            <w:pPr>
              <w:pStyle w:val="BodyText"/>
              <w:rPr>
                <w:rFonts w:cs="Poppins"/>
                <w:i/>
                <w:iCs/>
              </w:rPr>
            </w:pPr>
            <w:r>
              <w:rPr>
                <w:rFonts w:cs="Poppins"/>
                <w:i/>
                <w:iCs/>
              </w:rPr>
              <w:t xml:space="preserve">Section </w:t>
            </w:r>
            <w:r w:rsidR="003A4596">
              <w:rPr>
                <w:rFonts w:cs="Poppins"/>
                <w:i/>
                <w:iCs/>
              </w:rPr>
              <w:t xml:space="preserve">6.3.1 does not </w:t>
            </w:r>
            <w:proofErr w:type="gramStart"/>
            <w:r w:rsidR="003A4596">
              <w:rPr>
                <w:rFonts w:cs="Poppins"/>
                <w:i/>
                <w:iCs/>
              </w:rPr>
              <w:t>seems</w:t>
            </w:r>
            <w:proofErr w:type="gramEnd"/>
            <w:r w:rsidR="003A4596">
              <w:rPr>
                <w:rFonts w:cs="Poppins"/>
                <w:i/>
                <w:iCs/>
              </w:rPr>
              <w:t xml:space="preserve"> to be correct,</w:t>
            </w:r>
            <w:r w:rsidR="00815913">
              <w:rPr>
                <w:rFonts w:cs="Poppins"/>
                <w:i/>
                <w:iCs/>
              </w:rPr>
              <w:t xml:space="preserve"> would it be more correct to say that a</w:t>
            </w:r>
            <w:r w:rsidR="003A4596">
              <w:rPr>
                <w:rFonts w:cs="Poppins"/>
                <w:i/>
                <w:iCs/>
              </w:rPr>
              <w:t xml:space="preserve"> Gate 1 offer</w:t>
            </w:r>
            <w:r w:rsidR="00FF4921">
              <w:rPr>
                <w:rFonts w:cs="Poppins"/>
                <w:i/>
                <w:iCs/>
              </w:rPr>
              <w:t xml:space="preserve"> will</w:t>
            </w:r>
            <w:r w:rsidR="003A4596">
              <w:rPr>
                <w:rFonts w:cs="Poppins"/>
                <w:i/>
                <w:iCs/>
              </w:rPr>
              <w:t xml:space="preserve"> be based</w:t>
            </w:r>
            <w:r w:rsidR="003C4039">
              <w:rPr>
                <w:rFonts w:cs="Poppins"/>
                <w:i/>
                <w:iCs/>
              </w:rPr>
              <w:t xml:space="preserve"> on</w:t>
            </w:r>
            <w:r w:rsidR="00D847EA">
              <w:rPr>
                <w:rFonts w:cs="Poppins"/>
                <w:i/>
                <w:iCs/>
              </w:rPr>
              <w:t xml:space="preserve"> the </w:t>
            </w:r>
            <w:r w:rsidR="00CB2D8F">
              <w:rPr>
                <w:rFonts w:cs="Poppins"/>
                <w:i/>
                <w:iCs/>
              </w:rPr>
              <w:t>previous</w:t>
            </w:r>
            <w:r w:rsidR="00D847EA">
              <w:rPr>
                <w:rFonts w:cs="Poppins"/>
                <w:i/>
                <w:iCs/>
              </w:rPr>
              <w:t xml:space="preserve"> Gate 2 assessment process</w:t>
            </w:r>
            <w:r w:rsidR="003A4596">
              <w:rPr>
                <w:rFonts w:cs="Poppins"/>
                <w:i/>
                <w:iCs/>
              </w:rPr>
              <w:t xml:space="preserve"> </w:t>
            </w:r>
            <w:r w:rsidR="00D847EA">
              <w:rPr>
                <w:rFonts w:cs="Poppins"/>
                <w:i/>
                <w:iCs/>
              </w:rPr>
              <w:t xml:space="preserve">made </w:t>
            </w:r>
            <w:r w:rsidR="003C4039" w:rsidRPr="003C4039">
              <w:rPr>
                <w:rFonts w:cs="Poppins"/>
                <w:i/>
                <w:iCs/>
              </w:rPr>
              <w:t>to projects of a similar technology and capacity, connecting in the same or nearby location</w:t>
            </w:r>
            <w:r w:rsidR="003C4039">
              <w:rPr>
                <w:rFonts w:cs="Poppins"/>
                <w:i/>
                <w:iCs/>
              </w:rPr>
              <w:t xml:space="preserve">.  </w:t>
            </w:r>
            <w:r w:rsidR="00D847EA">
              <w:rPr>
                <w:rFonts w:cs="Poppins"/>
                <w:i/>
                <w:iCs/>
              </w:rPr>
              <w:t xml:space="preserve">It then follows </w:t>
            </w:r>
            <w:r w:rsidR="00FF4921">
              <w:rPr>
                <w:rFonts w:cs="Poppins"/>
                <w:i/>
                <w:iCs/>
              </w:rPr>
              <w:t xml:space="preserve">for section 6.3.3 </w:t>
            </w:r>
            <w:r w:rsidR="00D847EA">
              <w:rPr>
                <w:rFonts w:cs="Poppins"/>
                <w:i/>
                <w:iCs/>
              </w:rPr>
              <w:t xml:space="preserve">that the </w:t>
            </w:r>
            <w:r w:rsidR="002959AC">
              <w:rPr>
                <w:rFonts w:cs="Poppins"/>
                <w:i/>
                <w:iCs/>
              </w:rPr>
              <w:t>indication is of what the User would have received had it met Gate 2 in the previous round, and not the next one in the future?</w:t>
            </w:r>
            <w:r w:rsidR="000543D5">
              <w:rPr>
                <w:rFonts w:cs="Poppins"/>
                <w:i/>
                <w:iCs/>
              </w:rPr>
              <w:t xml:space="preserve">  The hyperlink at the bottom is not right.</w:t>
            </w:r>
          </w:p>
          <w:p w14:paraId="42830161" w14:textId="58F56791" w:rsidR="000543D5" w:rsidRDefault="00AF6591" w:rsidP="0012668C">
            <w:pPr>
              <w:pStyle w:val="BodyText"/>
              <w:rPr>
                <w:rFonts w:cs="Poppins"/>
                <w:i/>
                <w:iCs/>
              </w:rPr>
            </w:pPr>
            <w:r>
              <w:rPr>
                <w:rFonts w:cs="Poppins"/>
                <w:i/>
                <w:iCs/>
              </w:rPr>
              <w:t xml:space="preserve">Page </w:t>
            </w:r>
            <w:r w:rsidR="007D3AB1">
              <w:rPr>
                <w:rFonts w:cs="Poppins"/>
                <w:i/>
                <w:iCs/>
              </w:rPr>
              <w:t xml:space="preserve">52 has the same section number (6.3) as page 51, and </w:t>
            </w:r>
            <w:r w:rsidR="00C8428D">
              <w:rPr>
                <w:rFonts w:cs="Poppins"/>
                <w:i/>
                <w:iCs/>
              </w:rPr>
              <w:t>the</w:t>
            </w:r>
            <w:r w:rsidR="007E71D3">
              <w:rPr>
                <w:rFonts w:cs="Poppins"/>
                <w:i/>
                <w:iCs/>
              </w:rPr>
              <w:t xml:space="preserve"> next page should be 6.5</w:t>
            </w:r>
            <w:r w:rsidR="00ED5F6D">
              <w:rPr>
                <w:rFonts w:cs="Poppins"/>
                <w:i/>
                <w:iCs/>
              </w:rPr>
              <w:t>.</w:t>
            </w:r>
          </w:p>
          <w:p w14:paraId="1173420E" w14:textId="122E4BB5" w:rsidR="00DE2085" w:rsidRDefault="00147C42" w:rsidP="0012668C">
            <w:pPr>
              <w:pStyle w:val="BodyText"/>
              <w:rPr>
                <w:rFonts w:cs="Poppins"/>
                <w:i/>
                <w:iCs/>
              </w:rPr>
            </w:pPr>
            <w:r>
              <w:rPr>
                <w:rFonts w:cs="Poppins"/>
                <w:i/>
                <w:iCs/>
              </w:rPr>
              <w:t>Section 6.3.4</w:t>
            </w:r>
            <w:r w:rsidR="00A00DFE">
              <w:rPr>
                <w:rFonts w:cs="Poppins"/>
                <w:i/>
                <w:iCs/>
              </w:rPr>
              <w:t>,</w:t>
            </w:r>
            <w:r>
              <w:rPr>
                <w:rFonts w:cs="Poppins"/>
                <w:i/>
                <w:iCs/>
              </w:rPr>
              <w:t xml:space="preserve"> add at the end “</w:t>
            </w:r>
            <w:r w:rsidR="00680064">
              <w:rPr>
                <w:rFonts w:cs="Poppins"/>
                <w:i/>
                <w:iCs/>
              </w:rPr>
              <w:t>i</w:t>
            </w:r>
            <w:r>
              <w:rPr>
                <w:rFonts w:cs="Poppins"/>
                <w:i/>
                <w:iCs/>
              </w:rPr>
              <w:t>f the offer is accepted”</w:t>
            </w:r>
            <w:r w:rsidR="00ED5F6D">
              <w:rPr>
                <w:rFonts w:cs="Poppins"/>
                <w:i/>
                <w:iCs/>
              </w:rPr>
              <w:t>.</w:t>
            </w:r>
          </w:p>
          <w:p w14:paraId="5DCD56C1" w14:textId="496C408E" w:rsidR="007E71D3" w:rsidRDefault="007E71D3" w:rsidP="0012668C">
            <w:pPr>
              <w:pStyle w:val="BodyText"/>
              <w:rPr>
                <w:rFonts w:cs="Poppins"/>
                <w:i/>
                <w:iCs/>
              </w:rPr>
            </w:pPr>
            <w:r>
              <w:rPr>
                <w:rFonts w:cs="Poppins"/>
                <w:i/>
                <w:iCs/>
              </w:rPr>
              <w:t>Section 6.4</w:t>
            </w:r>
            <w:r w:rsidR="00A00DFE">
              <w:rPr>
                <w:rFonts w:cs="Poppins"/>
                <w:i/>
                <w:iCs/>
              </w:rPr>
              <w:t>,</w:t>
            </w:r>
            <w:r>
              <w:rPr>
                <w:rFonts w:cs="Poppins"/>
                <w:i/>
                <w:iCs/>
              </w:rPr>
              <w:t xml:space="preserve"> a paragraph should be added to </w:t>
            </w:r>
            <w:r w:rsidR="00C8428D">
              <w:rPr>
                <w:rFonts w:cs="Poppins"/>
                <w:i/>
                <w:iCs/>
              </w:rPr>
              <w:t>note</w:t>
            </w:r>
            <w:r>
              <w:rPr>
                <w:rFonts w:cs="Poppins"/>
                <w:i/>
                <w:iCs/>
              </w:rPr>
              <w:t xml:space="preserve"> that Generation Users subject to Wider </w:t>
            </w:r>
            <w:r w:rsidR="00C8428D">
              <w:rPr>
                <w:rFonts w:cs="Poppins"/>
                <w:i/>
                <w:iCs/>
              </w:rPr>
              <w:t>Cancellation</w:t>
            </w:r>
            <w:r w:rsidR="001B019E">
              <w:rPr>
                <w:rFonts w:cs="Poppins"/>
                <w:i/>
                <w:iCs/>
              </w:rPr>
              <w:t xml:space="preserve"> </w:t>
            </w:r>
            <w:r w:rsidR="00FE550E">
              <w:rPr>
                <w:rFonts w:cs="Poppins"/>
                <w:i/>
                <w:iCs/>
              </w:rPr>
              <w:t>Charges</w:t>
            </w:r>
            <w:r w:rsidR="001B019E">
              <w:rPr>
                <w:rFonts w:cs="Poppins"/>
                <w:i/>
                <w:iCs/>
              </w:rPr>
              <w:t xml:space="preserve"> will be </w:t>
            </w:r>
            <w:r w:rsidR="00C8428D">
              <w:rPr>
                <w:rFonts w:cs="Poppins"/>
                <w:i/>
                <w:iCs/>
              </w:rPr>
              <w:t>liable</w:t>
            </w:r>
            <w:r>
              <w:rPr>
                <w:rFonts w:cs="Poppins"/>
                <w:i/>
                <w:iCs/>
              </w:rPr>
              <w:t xml:space="preserve"> </w:t>
            </w:r>
            <w:r w:rsidR="001B019E">
              <w:rPr>
                <w:rFonts w:cs="Poppins"/>
                <w:i/>
                <w:iCs/>
              </w:rPr>
              <w:t xml:space="preserve">for the costs </w:t>
            </w:r>
            <w:r w:rsidR="00C8428D">
              <w:rPr>
                <w:rFonts w:cs="Poppins"/>
                <w:i/>
                <w:iCs/>
              </w:rPr>
              <w:t>associated</w:t>
            </w:r>
            <w:r w:rsidR="001B019E">
              <w:rPr>
                <w:rFonts w:cs="Poppins"/>
                <w:i/>
                <w:iCs/>
              </w:rPr>
              <w:t xml:space="preserve"> with </w:t>
            </w:r>
            <w:r w:rsidR="00FE550E">
              <w:rPr>
                <w:rFonts w:cs="Poppins"/>
                <w:i/>
                <w:iCs/>
              </w:rPr>
              <w:t>Anticipatory</w:t>
            </w:r>
            <w:r w:rsidR="001B019E">
              <w:rPr>
                <w:rFonts w:cs="Poppins"/>
                <w:i/>
                <w:iCs/>
              </w:rPr>
              <w:t xml:space="preserve"> Investment</w:t>
            </w:r>
            <w:r w:rsidR="00ED5F6D">
              <w:rPr>
                <w:rFonts w:cs="Poppins"/>
                <w:i/>
                <w:iCs/>
              </w:rPr>
              <w:t>.</w:t>
            </w:r>
          </w:p>
          <w:p w14:paraId="6DD794FD" w14:textId="4C5C762C" w:rsidR="000E4115" w:rsidRDefault="000E4115" w:rsidP="0012668C">
            <w:pPr>
              <w:pStyle w:val="BodyText"/>
              <w:rPr>
                <w:rFonts w:cs="Poppins"/>
                <w:i/>
                <w:iCs/>
              </w:rPr>
            </w:pPr>
            <w:r>
              <w:rPr>
                <w:rFonts w:cs="Poppins"/>
                <w:i/>
                <w:iCs/>
              </w:rPr>
              <w:lastRenderedPageBreak/>
              <w:t xml:space="preserve">Section 7.1 it </w:t>
            </w:r>
            <w:r w:rsidR="00C8428D">
              <w:rPr>
                <w:rFonts w:cs="Poppins"/>
                <w:i/>
                <w:iCs/>
              </w:rPr>
              <w:t>would</w:t>
            </w:r>
            <w:r>
              <w:rPr>
                <w:rFonts w:cs="Poppins"/>
                <w:i/>
                <w:iCs/>
              </w:rPr>
              <w:t xml:space="preserve"> be helpful to sta</w:t>
            </w:r>
            <w:r w:rsidR="00E83418">
              <w:rPr>
                <w:rFonts w:cs="Poppins"/>
                <w:i/>
                <w:iCs/>
              </w:rPr>
              <w:t>te</w:t>
            </w:r>
            <w:r>
              <w:rPr>
                <w:rFonts w:cs="Poppins"/>
                <w:i/>
                <w:iCs/>
              </w:rPr>
              <w:t xml:space="preserve"> that this is for new applications f</w:t>
            </w:r>
            <w:r w:rsidR="00006A7B">
              <w:rPr>
                <w:rFonts w:cs="Poppins"/>
                <w:i/>
                <w:iCs/>
              </w:rPr>
              <w:t>rom 2025</w:t>
            </w:r>
            <w:r w:rsidR="00ED5F6D">
              <w:rPr>
                <w:rFonts w:cs="Poppins"/>
                <w:i/>
                <w:iCs/>
              </w:rPr>
              <w:t>.</w:t>
            </w:r>
          </w:p>
          <w:p w14:paraId="5CBD84E0" w14:textId="187FCA79" w:rsidR="00006A7B" w:rsidRDefault="00EF66C3" w:rsidP="0012668C">
            <w:pPr>
              <w:pStyle w:val="BodyText"/>
              <w:rPr>
                <w:rFonts w:cs="Poppins"/>
                <w:i/>
                <w:iCs/>
              </w:rPr>
            </w:pPr>
            <w:r>
              <w:rPr>
                <w:rFonts w:cs="Poppins"/>
                <w:i/>
                <w:iCs/>
              </w:rPr>
              <w:t>Section 7.</w:t>
            </w:r>
            <w:r w:rsidR="008C7E81">
              <w:rPr>
                <w:rFonts w:cs="Poppins"/>
                <w:i/>
                <w:iCs/>
              </w:rPr>
              <w:t xml:space="preserve">3.1, item 6 on the list, can you clarify that </w:t>
            </w:r>
            <w:r w:rsidR="00C8428D">
              <w:rPr>
                <w:rFonts w:cs="Poppins"/>
                <w:i/>
                <w:iCs/>
              </w:rPr>
              <w:t>this</w:t>
            </w:r>
            <w:r w:rsidR="008C7E81">
              <w:rPr>
                <w:rFonts w:cs="Poppins"/>
                <w:i/>
                <w:iCs/>
              </w:rPr>
              <w:t xml:space="preserve"> </w:t>
            </w:r>
            <w:r w:rsidR="00FE550E">
              <w:rPr>
                <w:rFonts w:cs="Poppins"/>
                <w:i/>
                <w:iCs/>
              </w:rPr>
              <w:t>queue</w:t>
            </w:r>
            <w:r w:rsidR="008C7E81">
              <w:rPr>
                <w:rFonts w:cs="Poppins"/>
                <w:i/>
                <w:iCs/>
              </w:rPr>
              <w:t xml:space="preserve"> is then added to the end of the </w:t>
            </w:r>
            <w:r w:rsidR="003312BF">
              <w:rPr>
                <w:rFonts w:cs="Poppins"/>
                <w:i/>
                <w:iCs/>
              </w:rPr>
              <w:t xml:space="preserve">queue </w:t>
            </w:r>
            <w:r w:rsidR="003C1E35">
              <w:rPr>
                <w:rFonts w:cs="Poppins"/>
                <w:i/>
                <w:iCs/>
              </w:rPr>
              <w:t xml:space="preserve">already </w:t>
            </w:r>
            <w:r w:rsidR="003312BF">
              <w:rPr>
                <w:rFonts w:cs="Poppins"/>
                <w:i/>
                <w:iCs/>
              </w:rPr>
              <w:t xml:space="preserve">formed </w:t>
            </w:r>
            <w:r w:rsidR="003C1E35">
              <w:rPr>
                <w:rFonts w:cs="Poppins"/>
                <w:i/>
                <w:iCs/>
              </w:rPr>
              <w:t>under</w:t>
            </w:r>
            <w:r w:rsidR="003312BF">
              <w:rPr>
                <w:rFonts w:cs="Poppins"/>
                <w:i/>
                <w:iCs/>
              </w:rPr>
              <w:t xml:space="preserve"> </w:t>
            </w:r>
            <w:r w:rsidR="00E83418">
              <w:rPr>
                <w:rFonts w:cs="Poppins"/>
                <w:i/>
                <w:iCs/>
              </w:rPr>
              <w:t>CMP435</w:t>
            </w:r>
            <w:r w:rsidR="004D220B">
              <w:rPr>
                <w:rFonts w:cs="Poppins"/>
                <w:i/>
                <w:iCs/>
              </w:rPr>
              <w:t>?</w:t>
            </w:r>
          </w:p>
          <w:p w14:paraId="2740A013" w14:textId="4BB3D0C2" w:rsidR="004819DE" w:rsidRDefault="004819DE" w:rsidP="004819DE">
            <w:pPr>
              <w:pStyle w:val="BodyText"/>
              <w:rPr>
                <w:rFonts w:cs="Poppins"/>
                <w:i/>
                <w:iCs/>
              </w:rPr>
            </w:pPr>
            <w:proofErr w:type="gramStart"/>
            <w:r>
              <w:rPr>
                <w:rFonts w:cs="Poppins"/>
                <w:i/>
                <w:iCs/>
              </w:rPr>
              <w:t>Section  7.10.3</w:t>
            </w:r>
            <w:proofErr w:type="gramEnd"/>
            <w:r>
              <w:rPr>
                <w:rFonts w:cs="Poppins"/>
                <w:i/>
                <w:iCs/>
              </w:rPr>
              <w:t xml:space="preserve">, assuming that the CUSC arrangements still take priority over the CNDM, the text should say that categorisation into </w:t>
            </w:r>
            <w:r w:rsidRPr="00467C21">
              <w:rPr>
                <w:rFonts w:cs="Poppins"/>
                <w:i/>
                <w:iCs/>
              </w:rPr>
              <w:t>enabling and wider works will be</w:t>
            </w:r>
            <w:r>
              <w:rPr>
                <w:rFonts w:cs="Poppins"/>
                <w:i/>
                <w:iCs/>
              </w:rPr>
              <w:t xml:space="preserve"> “in accordance with</w:t>
            </w:r>
            <w:r>
              <w:t xml:space="preserve"> </w:t>
            </w:r>
            <w:r w:rsidRPr="0012668C">
              <w:rPr>
                <w:rFonts w:cs="Poppins"/>
                <w:i/>
                <w:iCs/>
              </w:rPr>
              <w:t>Connect and Manage</w:t>
            </w:r>
            <w:r>
              <w:rPr>
                <w:rFonts w:cs="Poppins"/>
                <w:i/>
                <w:iCs/>
              </w:rPr>
              <w:t xml:space="preserve"> </w:t>
            </w:r>
            <w:r w:rsidRPr="0012668C">
              <w:rPr>
                <w:rFonts w:cs="Poppins"/>
                <w:i/>
                <w:iCs/>
              </w:rPr>
              <w:t>Arrangements</w:t>
            </w:r>
            <w:r>
              <w:rPr>
                <w:rFonts w:cs="Poppins"/>
                <w:i/>
                <w:iCs/>
              </w:rPr>
              <w:t xml:space="preserve"> (as defined in CUSC)”</w:t>
            </w:r>
            <w:r w:rsidR="00ED5F6D">
              <w:rPr>
                <w:rFonts w:cs="Poppins"/>
                <w:i/>
                <w:iCs/>
              </w:rPr>
              <w:t>.</w:t>
            </w:r>
          </w:p>
          <w:p w14:paraId="73389D41" w14:textId="2A53EE3D" w:rsidR="00B26649" w:rsidRDefault="007E1964" w:rsidP="0012668C">
            <w:pPr>
              <w:pStyle w:val="BodyText"/>
              <w:rPr>
                <w:rFonts w:cs="Poppins"/>
                <w:i/>
                <w:iCs/>
              </w:rPr>
            </w:pPr>
            <w:r>
              <w:rPr>
                <w:rFonts w:cs="Poppins"/>
                <w:i/>
                <w:iCs/>
              </w:rPr>
              <w:t>Section 7.1</w:t>
            </w:r>
            <w:r w:rsidR="00EC70AA">
              <w:rPr>
                <w:rFonts w:cs="Poppins"/>
                <w:i/>
                <w:iCs/>
              </w:rPr>
              <w:t xml:space="preserve">2, you may wish to </w:t>
            </w:r>
            <w:r w:rsidR="00FA04B6">
              <w:rPr>
                <w:rFonts w:cs="Poppins"/>
                <w:i/>
                <w:iCs/>
              </w:rPr>
              <w:t xml:space="preserve">add </w:t>
            </w:r>
            <w:r w:rsidR="00EC70AA">
              <w:rPr>
                <w:rFonts w:cs="Poppins"/>
                <w:i/>
                <w:iCs/>
              </w:rPr>
              <w:t xml:space="preserve">a </w:t>
            </w:r>
            <w:r w:rsidR="00616869">
              <w:rPr>
                <w:rFonts w:cs="Poppins"/>
                <w:i/>
                <w:iCs/>
              </w:rPr>
              <w:t>reference to the self</w:t>
            </w:r>
            <w:r w:rsidR="00B656D1">
              <w:rPr>
                <w:rFonts w:cs="Poppins"/>
                <w:i/>
                <w:iCs/>
              </w:rPr>
              <w:t xml:space="preserve">-assessed derogations for </w:t>
            </w:r>
            <w:r w:rsidR="003C38C4">
              <w:rPr>
                <w:rFonts w:cs="Poppins"/>
                <w:i/>
                <w:iCs/>
              </w:rPr>
              <w:t>connect</w:t>
            </w:r>
            <w:r w:rsidR="00B656D1">
              <w:rPr>
                <w:rFonts w:cs="Poppins"/>
                <w:i/>
                <w:iCs/>
              </w:rPr>
              <w:t xml:space="preserve"> and manage, for completeness.</w:t>
            </w:r>
          </w:p>
          <w:p w14:paraId="36559119" w14:textId="1DEA971C" w:rsidR="00E9419C" w:rsidRDefault="00E9419C" w:rsidP="00914A0A">
            <w:pPr>
              <w:pStyle w:val="BodyText"/>
              <w:rPr>
                <w:rFonts w:cs="Poppins"/>
                <w:i/>
                <w:iCs/>
              </w:rPr>
            </w:pPr>
            <w:r>
              <w:rPr>
                <w:rFonts w:cs="Poppins"/>
                <w:i/>
                <w:iCs/>
              </w:rPr>
              <w:t xml:space="preserve">Section </w:t>
            </w:r>
            <w:r w:rsidR="00A16D8F">
              <w:rPr>
                <w:rFonts w:cs="Poppins"/>
                <w:i/>
                <w:iCs/>
              </w:rPr>
              <w:t>7.</w:t>
            </w:r>
            <w:r w:rsidR="008C2138">
              <w:rPr>
                <w:rFonts w:cs="Poppins"/>
                <w:i/>
                <w:iCs/>
              </w:rPr>
              <w:t>15.3, suggest adding at the end “or any subsequent project in the queue”</w:t>
            </w:r>
            <w:r w:rsidR="00ED5F6D">
              <w:rPr>
                <w:rFonts w:cs="Poppins"/>
                <w:i/>
                <w:iCs/>
              </w:rPr>
              <w:t>.</w:t>
            </w:r>
          </w:p>
          <w:p w14:paraId="27C31890" w14:textId="1072C48A" w:rsidR="008C2138" w:rsidRPr="00406CA9" w:rsidRDefault="009B60F9" w:rsidP="00914A0A">
            <w:pPr>
              <w:pStyle w:val="BodyText"/>
              <w:rPr>
                <w:rFonts w:cs="Poppins"/>
                <w:i/>
                <w:iCs/>
              </w:rPr>
            </w:pPr>
            <w:r>
              <w:rPr>
                <w:rFonts w:cs="Poppins"/>
                <w:i/>
                <w:iCs/>
              </w:rPr>
              <w:t>Section 9.</w:t>
            </w:r>
            <w:r w:rsidR="002075EA">
              <w:rPr>
                <w:rFonts w:cs="Poppins"/>
                <w:i/>
                <w:iCs/>
              </w:rPr>
              <w:t>2.1, para 11, su</w:t>
            </w:r>
            <w:r w:rsidR="00147DBF">
              <w:rPr>
                <w:rFonts w:cs="Poppins"/>
                <w:i/>
                <w:iCs/>
              </w:rPr>
              <w:t>ggest</w:t>
            </w:r>
            <w:r w:rsidR="002075EA">
              <w:rPr>
                <w:rFonts w:cs="Poppins"/>
                <w:i/>
                <w:iCs/>
              </w:rPr>
              <w:t xml:space="preserve"> “notable</w:t>
            </w:r>
            <w:r w:rsidR="00147DBF">
              <w:rPr>
                <w:rFonts w:cs="Poppins"/>
                <w:i/>
                <w:iCs/>
              </w:rPr>
              <w:t xml:space="preserve"> characteristics</w:t>
            </w:r>
            <w:r w:rsidR="002075EA">
              <w:rPr>
                <w:rFonts w:cs="Poppins"/>
                <w:i/>
                <w:iCs/>
              </w:rPr>
              <w:t>” is replaced by “non-standard</w:t>
            </w:r>
            <w:r w:rsidR="00147DBF">
              <w:rPr>
                <w:rFonts w:cs="Poppins"/>
                <w:i/>
                <w:iCs/>
              </w:rPr>
              <w:t xml:space="preserve"> features”</w:t>
            </w:r>
            <w:r w:rsidR="00ED5F6D">
              <w:rPr>
                <w:rFonts w:cs="Poppins"/>
                <w:i/>
                <w:iCs/>
              </w:rPr>
              <w:t>.</w:t>
            </w:r>
          </w:p>
        </w:tc>
      </w:tr>
    </w:tbl>
    <w:p w14:paraId="662AEE56" w14:textId="77777777" w:rsidR="00980121" w:rsidRDefault="00980121" w:rsidP="00696037">
      <w:pPr>
        <w:tabs>
          <w:tab w:val="left" w:pos="2120"/>
        </w:tabs>
        <w:rPr>
          <w:b/>
          <w:bCs/>
        </w:rPr>
      </w:pPr>
    </w:p>
    <w:tbl>
      <w:tblPr>
        <w:tblStyle w:val="TableGrid"/>
        <w:tblW w:w="0" w:type="auto"/>
        <w:tblLook w:val="04A0" w:firstRow="1" w:lastRow="0" w:firstColumn="1" w:lastColumn="0" w:noHBand="0" w:noVBand="1"/>
      </w:tblPr>
      <w:tblGrid>
        <w:gridCol w:w="9742"/>
      </w:tblGrid>
      <w:tr w:rsidR="003436C9" w:rsidRPr="001208CB" w14:paraId="1E7643BC" w14:textId="77777777" w:rsidTr="00B267E2">
        <w:tc>
          <w:tcPr>
            <w:tcW w:w="9742" w:type="dxa"/>
          </w:tcPr>
          <w:p w14:paraId="4CB6DE2D" w14:textId="516E534C" w:rsidR="003436C9" w:rsidRPr="00FA04B6" w:rsidRDefault="002704B9" w:rsidP="00B267E2">
            <w:pPr>
              <w:pStyle w:val="BodyText"/>
              <w:rPr>
                <w:rFonts w:cs="Poppins"/>
                <w:b/>
                <w:bCs/>
              </w:rPr>
            </w:pPr>
            <w:r w:rsidRPr="00FA04B6">
              <w:rPr>
                <w:rFonts w:cs="Poppins"/>
                <w:b/>
                <w:bCs/>
              </w:rPr>
              <w:t>Gate 2 Criteria</w:t>
            </w:r>
            <w:r w:rsidR="003436C9" w:rsidRPr="00FA04B6">
              <w:rPr>
                <w:rFonts w:cs="Poppins"/>
                <w:b/>
                <w:bCs/>
              </w:rPr>
              <w:t xml:space="preserve"> Methodology</w:t>
            </w:r>
          </w:p>
        </w:tc>
      </w:tr>
      <w:tr w:rsidR="003436C9" w:rsidRPr="00406CA9" w14:paraId="40CAA1FB" w14:textId="77777777" w:rsidTr="00B267E2">
        <w:tc>
          <w:tcPr>
            <w:tcW w:w="9742" w:type="dxa"/>
          </w:tcPr>
          <w:p w14:paraId="5751A7AF" w14:textId="77777777" w:rsidR="00EE31D6" w:rsidRDefault="002704B9" w:rsidP="00ED7C09">
            <w:pPr>
              <w:pStyle w:val="BodyText"/>
              <w:rPr>
                <w:rFonts w:cs="Poppins"/>
                <w:u w:val="single"/>
              </w:rPr>
            </w:pPr>
            <w:r>
              <w:rPr>
                <w:rFonts w:cs="Poppins"/>
                <w:i/>
                <w:iCs/>
              </w:rPr>
              <w:t>Section 2.</w:t>
            </w:r>
            <w:r w:rsidR="007138FF">
              <w:rPr>
                <w:rFonts w:cs="Poppins"/>
                <w:i/>
                <w:iCs/>
              </w:rPr>
              <w:t>3, regarding c</w:t>
            </w:r>
            <w:r w:rsidR="00FD693D">
              <w:rPr>
                <w:rFonts w:cs="Poppins"/>
                <w:i/>
                <w:iCs/>
              </w:rPr>
              <w:t>hapt</w:t>
            </w:r>
            <w:r w:rsidR="007138FF">
              <w:rPr>
                <w:rFonts w:cs="Poppins"/>
                <w:i/>
                <w:iCs/>
              </w:rPr>
              <w:t xml:space="preserve">er 9.2, </w:t>
            </w:r>
            <w:r w:rsidR="007A0A05">
              <w:rPr>
                <w:rFonts w:cs="Poppins"/>
                <w:i/>
                <w:iCs/>
              </w:rPr>
              <w:t>am</w:t>
            </w:r>
            <w:r w:rsidR="00FD693D">
              <w:rPr>
                <w:rFonts w:cs="Poppins"/>
                <w:i/>
                <w:iCs/>
              </w:rPr>
              <w:t>e</w:t>
            </w:r>
            <w:r w:rsidR="007A0A05">
              <w:rPr>
                <w:rFonts w:cs="Poppins"/>
                <w:i/>
                <w:iCs/>
              </w:rPr>
              <w:t xml:space="preserve">nd the </w:t>
            </w:r>
            <w:r w:rsidR="007138FF">
              <w:rPr>
                <w:rFonts w:cs="Poppins"/>
                <w:i/>
                <w:iCs/>
              </w:rPr>
              <w:t>second bullet point, for clarity</w:t>
            </w:r>
            <w:r w:rsidR="00ED7D7E">
              <w:rPr>
                <w:rFonts w:cs="Poppins"/>
                <w:i/>
                <w:iCs/>
              </w:rPr>
              <w:t xml:space="preserve"> </w:t>
            </w:r>
            <w:r w:rsidR="00ED7C09">
              <w:rPr>
                <w:rFonts w:cs="Poppins"/>
                <w:i/>
                <w:iCs/>
              </w:rPr>
              <w:t>“</w:t>
            </w:r>
            <w:r w:rsidR="00ED7C09" w:rsidRPr="00ED7C09">
              <w:rPr>
                <w:rFonts w:cs="Poppins"/>
                <w:i/>
                <w:iCs/>
              </w:rPr>
              <w:t>User</w:t>
            </w:r>
            <w:r w:rsidR="00ED7C09">
              <w:rPr>
                <w:rFonts w:cs="Poppins"/>
                <w:i/>
                <w:iCs/>
              </w:rPr>
              <w:t xml:space="preserve"> </w:t>
            </w:r>
            <w:r w:rsidR="000D33BD">
              <w:rPr>
                <w:rFonts w:cs="Poppins"/>
                <w:i/>
                <w:iCs/>
                <w:u w:val="single"/>
              </w:rPr>
              <w:t>or Developer</w:t>
            </w:r>
            <w:r w:rsidR="00ED7C09" w:rsidRPr="00ED7C09">
              <w:rPr>
                <w:rFonts w:cs="Poppins"/>
                <w:i/>
                <w:iCs/>
              </w:rPr>
              <w:t xml:space="preserve"> can request a reduction in their TEC or Developer Capacity noting</w:t>
            </w:r>
            <w:r w:rsidR="00ED7C09">
              <w:rPr>
                <w:rFonts w:cs="Poppins"/>
                <w:i/>
                <w:iCs/>
              </w:rPr>
              <w:t xml:space="preserve"> </w:t>
            </w:r>
            <w:r w:rsidR="00ED7C09" w:rsidRPr="00ED7C09">
              <w:rPr>
                <w:rFonts w:cs="Poppins"/>
                <w:i/>
                <w:iCs/>
              </w:rPr>
              <w:t xml:space="preserve">that the User is liable for a Cancellation Charge </w:t>
            </w:r>
            <w:r w:rsidR="000D33BD">
              <w:rPr>
                <w:rFonts w:cs="Poppins"/>
                <w:i/>
                <w:iCs/>
                <w:u w:val="single"/>
              </w:rPr>
              <w:t xml:space="preserve">or Final Sums liability </w:t>
            </w:r>
            <w:r w:rsidR="00ED7C09" w:rsidRPr="00ED7C09">
              <w:rPr>
                <w:rFonts w:cs="Poppins"/>
                <w:i/>
                <w:iCs/>
              </w:rPr>
              <w:t>if this reduction results in</w:t>
            </w:r>
            <w:r w:rsidR="00ED7C09">
              <w:rPr>
                <w:rFonts w:cs="Poppins"/>
                <w:i/>
                <w:iCs/>
              </w:rPr>
              <w:t xml:space="preserve"> </w:t>
            </w:r>
            <w:r w:rsidR="00ED7C09" w:rsidRPr="00ED7C09">
              <w:rPr>
                <w:rFonts w:cs="Poppins"/>
                <w:i/>
                <w:iCs/>
              </w:rPr>
              <w:t>abortive works</w:t>
            </w:r>
            <w:r w:rsidR="000D33BD">
              <w:rPr>
                <w:rFonts w:cs="Poppins"/>
                <w:i/>
                <w:iCs/>
              </w:rPr>
              <w:t xml:space="preserve"> </w:t>
            </w:r>
            <w:r w:rsidR="000D33BD">
              <w:rPr>
                <w:rFonts w:cs="Poppins"/>
                <w:i/>
                <w:iCs/>
                <w:u w:val="single"/>
              </w:rPr>
              <w:t>and/or</w:t>
            </w:r>
            <w:r w:rsidR="00AD1A2A">
              <w:rPr>
                <w:rFonts w:cs="Poppins"/>
                <w:i/>
                <w:iCs/>
                <w:u w:val="single"/>
              </w:rPr>
              <w:t xml:space="preserve"> where Wider </w:t>
            </w:r>
            <w:r w:rsidR="00FD693D">
              <w:rPr>
                <w:rFonts w:cs="Poppins"/>
                <w:i/>
                <w:iCs/>
                <w:u w:val="single"/>
              </w:rPr>
              <w:t>Cancellation</w:t>
            </w:r>
            <w:r w:rsidR="00AD1A2A">
              <w:rPr>
                <w:rFonts w:cs="Poppins"/>
                <w:i/>
                <w:iCs/>
                <w:u w:val="single"/>
              </w:rPr>
              <w:t xml:space="preserve"> Liabilities apply or the User has opted for the Fixed methodology</w:t>
            </w:r>
            <w:r w:rsidR="00FD693D">
              <w:rPr>
                <w:rFonts w:cs="Poppins"/>
                <w:i/>
                <w:iCs/>
                <w:u w:val="single"/>
              </w:rPr>
              <w:t>”.</w:t>
            </w:r>
            <w:r w:rsidR="00751972">
              <w:rPr>
                <w:rFonts w:cs="Poppins"/>
                <w:i/>
                <w:iCs/>
                <w:u w:val="single"/>
              </w:rPr>
              <w:t xml:space="preserve"> </w:t>
            </w:r>
            <w:r w:rsidR="00751972" w:rsidRPr="00EE31D6">
              <w:rPr>
                <w:rFonts w:cs="Poppins"/>
                <w:u w:val="single"/>
              </w:rPr>
              <w:t xml:space="preserve"> </w:t>
            </w:r>
          </w:p>
          <w:p w14:paraId="715EAA27" w14:textId="56EB2A0F" w:rsidR="003436C9" w:rsidRPr="00EE31D6" w:rsidRDefault="00751972" w:rsidP="00ED7C09">
            <w:pPr>
              <w:pStyle w:val="BodyText"/>
              <w:rPr>
                <w:rFonts w:cs="Poppins"/>
                <w:i/>
                <w:iCs/>
              </w:rPr>
            </w:pPr>
            <w:r w:rsidRPr="00EE31D6">
              <w:rPr>
                <w:rFonts w:cs="Poppins"/>
                <w:i/>
                <w:iCs/>
              </w:rPr>
              <w:t xml:space="preserve">I am also very concerned to read the “note” at the bottom of this page, to preserve investor </w:t>
            </w:r>
            <w:r w:rsidR="00EE31D6" w:rsidRPr="00EE31D6">
              <w:rPr>
                <w:rFonts w:cs="Poppins"/>
                <w:i/>
                <w:iCs/>
              </w:rPr>
              <w:t>confidence</w:t>
            </w:r>
            <w:r w:rsidRPr="00EE31D6">
              <w:rPr>
                <w:rFonts w:cs="Poppins"/>
                <w:i/>
                <w:iCs/>
              </w:rPr>
              <w:t xml:space="preserve"> it is </w:t>
            </w:r>
            <w:r w:rsidR="00C94A33" w:rsidRPr="00EE31D6">
              <w:rPr>
                <w:rFonts w:cs="Poppins"/>
                <w:i/>
                <w:iCs/>
              </w:rPr>
              <w:t>essential</w:t>
            </w:r>
            <w:r w:rsidRPr="00EE31D6">
              <w:rPr>
                <w:rFonts w:cs="Poppins"/>
                <w:i/>
                <w:iCs/>
              </w:rPr>
              <w:t xml:space="preserve"> that steps are </w:t>
            </w:r>
            <w:r w:rsidR="00EE31D6" w:rsidRPr="00EE31D6">
              <w:rPr>
                <w:rFonts w:cs="Poppins"/>
                <w:i/>
                <w:iCs/>
              </w:rPr>
              <w:t>taken</w:t>
            </w:r>
            <w:r w:rsidRPr="00EE31D6">
              <w:rPr>
                <w:rFonts w:cs="Poppins"/>
                <w:i/>
                <w:iCs/>
              </w:rPr>
              <w:t xml:space="preserve"> to </w:t>
            </w:r>
            <w:r w:rsidR="00C94A33" w:rsidRPr="00EE31D6">
              <w:rPr>
                <w:rFonts w:cs="Poppins"/>
                <w:i/>
                <w:iCs/>
              </w:rPr>
              <w:t>reassure</w:t>
            </w:r>
            <w:r w:rsidRPr="00EE31D6">
              <w:rPr>
                <w:rFonts w:cs="Poppins"/>
                <w:i/>
                <w:iCs/>
              </w:rPr>
              <w:t xml:space="preserve"> investors that project already under </w:t>
            </w:r>
            <w:r w:rsidR="00EE31D6" w:rsidRPr="00EE31D6">
              <w:rPr>
                <w:rFonts w:cs="Poppins"/>
                <w:i/>
                <w:iCs/>
              </w:rPr>
              <w:t>construction</w:t>
            </w:r>
            <w:r w:rsidRPr="00EE31D6">
              <w:rPr>
                <w:rFonts w:cs="Poppins"/>
                <w:i/>
                <w:iCs/>
              </w:rPr>
              <w:t xml:space="preserve"> are prevented from </w:t>
            </w:r>
            <w:r w:rsidR="00EE31D6" w:rsidRPr="00EE31D6">
              <w:rPr>
                <w:rFonts w:cs="Poppins"/>
                <w:i/>
                <w:iCs/>
              </w:rPr>
              <w:t>connecting</w:t>
            </w:r>
            <w:r w:rsidRPr="00EE31D6">
              <w:rPr>
                <w:rFonts w:cs="Poppins"/>
                <w:i/>
                <w:iCs/>
              </w:rPr>
              <w:t xml:space="preserve"> by </w:t>
            </w:r>
            <w:r w:rsidR="00C94A33" w:rsidRPr="00EE31D6">
              <w:rPr>
                <w:rFonts w:cs="Poppins"/>
                <w:i/>
                <w:iCs/>
              </w:rPr>
              <w:t>retrospective</w:t>
            </w:r>
            <w:r w:rsidRPr="00EE31D6">
              <w:rPr>
                <w:rFonts w:cs="Poppins"/>
                <w:i/>
                <w:iCs/>
              </w:rPr>
              <w:t xml:space="preserve"> application of </w:t>
            </w:r>
            <w:r w:rsidR="00612312" w:rsidRPr="00EE31D6">
              <w:rPr>
                <w:rFonts w:cs="Poppins"/>
                <w:i/>
                <w:iCs/>
              </w:rPr>
              <w:t>new rules on what technologies are allowed in which areas.  Without fixing this NESO is inviting an investment hiatus and</w:t>
            </w:r>
            <w:r w:rsidR="00326C71" w:rsidRPr="00EE31D6">
              <w:rPr>
                <w:rFonts w:cs="Poppins"/>
                <w:i/>
                <w:iCs/>
              </w:rPr>
              <w:t xml:space="preserve">/or legal challenge which could disrupt the </w:t>
            </w:r>
            <w:r w:rsidR="00EE31D6" w:rsidRPr="00EE31D6">
              <w:rPr>
                <w:rFonts w:cs="Poppins"/>
                <w:i/>
                <w:iCs/>
              </w:rPr>
              <w:t>whole</w:t>
            </w:r>
            <w:r w:rsidR="00326C71" w:rsidRPr="00EE31D6">
              <w:rPr>
                <w:rFonts w:cs="Poppins"/>
                <w:i/>
                <w:iCs/>
              </w:rPr>
              <w:t xml:space="preserve"> programme for a want </w:t>
            </w:r>
            <w:r w:rsidR="00EE31D6" w:rsidRPr="00EE31D6">
              <w:rPr>
                <w:rFonts w:cs="Poppins"/>
                <w:i/>
                <w:iCs/>
              </w:rPr>
              <w:t>of</w:t>
            </w:r>
            <w:r w:rsidR="00326C71" w:rsidRPr="00EE31D6">
              <w:rPr>
                <w:rFonts w:cs="Poppins"/>
                <w:i/>
                <w:iCs/>
              </w:rPr>
              <w:t xml:space="preserve"> a simple pra</w:t>
            </w:r>
            <w:r w:rsidR="00C94A33">
              <w:rPr>
                <w:rFonts w:cs="Poppins"/>
                <w:i/>
                <w:iCs/>
              </w:rPr>
              <w:t>g</w:t>
            </w:r>
            <w:r w:rsidR="00326C71" w:rsidRPr="00EE31D6">
              <w:rPr>
                <w:rFonts w:cs="Poppins"/>
                <w:i/>
                <w:iCs/>
              </w:rPr>
              <w:t>matic fix</w:t>
            </w:r>
            <w:r w:rsidR="00EE31D6" w:rsidRPr="00EE31D6">
              <w:rPr>
                <w:rFonts w:cs="Poppins"/>
                <w:i/>
                <w:iCs/>
              </w:rPr>
              <w:t>.</w:t>
            </w:r>
            <w:r w:rsidR="00326C71" w:rsidRPr="00EE31D6">
              <w:rPr>
                <w:rFonts w:cs="Poppins"/>
                <w:i/>
                <w:iCs/>
              </w:rPr>
              <w:t xml:space="preserve"> </w:t>
            </w:r>
          </w:p>
          <w:p w14:paraId="40FD1560" w14:textId="77777777" w:rsidR="00FD693D" w:rsidRDefault="005C275C" w:rsidP="00ED7C09">
            <w:pPr>
              <w:pStyle w:val="BodyText"/>
              <w:rPr>
                <w:rFonts w:cs="Poppins"/>
                <w:i/>
                <w:iCs/>
              </w:rPr>
            </w:pPr>
            <w:r>
              <w:rPr>
                <w:rFonts w:cs="Poppins"/>
                <w:i/>
                <w:iCs/>
              </w:rPr>
              <w:t>Section 3.1</w:t>
            </w:r>
            <w:r w:rsidR="00320C80">
              <w:rPr>
                <w:rFonts w:cs="Poppins"/>
                <w:i/>
                <w:iCs/>
              </w:rPr>
              <w:t>, bottom box first paragraph change “expanded on” to “clarified” (this is because the obligations are contained in the CUSC and cannot be expanded by a non-legally binding guidance note).</w:t>
            </w:r>
          </w:p>
          <w:p w14:paraId="468FB4E3" w14:textId="16DAE6A9" w:rsidR="00F97728" w:rsidRDefault="00F97728" w:rsidP="00ED7C09">
            <w:pPr>
              <w:pStyle w:val="BodyText"/>
              <w:rPr>
                <w:rFonts w:cs="Poppins"/>
                <w:i/>
                <w:iCs/>
              </w:rPr>
            </w:pPr>
            <w:r>
              <w:rPr>
                <w:rFonts w:cs="Poppins"/>
                <w:i/>
                <w:iCs/>
              </w:rPr>
              <w:t>Section 4.1</w:t>
            </w:r>
            <w:r w:rsidR="009E67C3">
              <w:rPr>
                <w:rFonts w:cs="Poppins"/>
                <w:i/>
                <w:iCs/>
              </w:rPr>
              <w:t>, right hand column, first para starting “option”, add at the end “or date of exercise of the option if sooner”</w:t>
            </w:r>
            <w:r w:rsidR="00820F77">
              <w:rPr>
                <w:rFonts w:cs="Poppins"/>
                <w:i/>
                <w:iCs/>
              </w:rPr>
              <w:t>.</w:t>
            </w:r>
          </w:p>
          <w:p w14:paraId="149FF2A2" w14:textId="252E47B3" w:rsidR="009E67C3" w:rsidRDefault="00737A26" w:rsidP="00ED7C09">
            <w:pPr>
              <w:pStyle w:val="BodyText"/>
              <w:rPr>
                <w:rFonts w:cs="Poppins"/>
                <w:i/>
                <w:iCs/>
              </w:rPr>
            </w:pPr>
            <w:r>
              <w:rPr>
                <w:rFonts w:cs="Poppins"/>
                <w:i/>
                <w:iCs/>
              </w:rPr>
              <w:t>Section 4.</w:t>
            </w:r>
            <w:r w:rsidR="00820F77">
              <w:rPr>
                <w:rFonts w:cs="Poppins"/>
                <w:i/>
                <w:iCs/>
              </w:rPr>
              <w:t>2</w:t>
            </w:r>
            <w:r>
              <w:rPr>
                <w:rFonts w:cs="Poppins"/>
                <w:i/>
                <w:iCs/>
              </w:rPr>
              <w:t xml:space="preserve">, to make this clear you need to state that </w:t>
            </w:r>
            <w:r w:rsidR="008E0B03">
              <w:rPr>
                <w:rFonts w:cs="Poppins"/>
                <w:i/>
                <w:iCs/>
              </w:rPr>
              <w:t xml:space="preserve">the </w:t>
            </w:r>
            <w:r w:rsidR="000C51EE">
              <w:rPr>
                <w:rFonts w:cs="Poppins"/>
                <w:i/>
                <w:iCs/>
              </w:rPr>
              <w:t>requirement</w:t>
            </w:r>
            <w:r w:rsidR="008E0B03">
              <w:rPr>
                <w:rFonts w:cs="Poppins"/>
                <w:i/>
                <w:iCs/>
              </w:rPr>
              <w:t xml:space="preserve"> is in relation to MWs of </w:t>
            </w:r>
            <w:r w:rsidR="000C51EE">
              <w:rPr>
                <w:rFonts w:cs="Poppins"/>
                <w:i/>
                <w:iCs/>
              </w:rPr>
              <w:t>Installed</w:t>
            </w:r>
            <w:r w:rsidR="008E0B03">
              <w:rPr>
                <w:rFonts w:cs="Poppins"/>
                <w:i/>
                <w:iCs/>
              </w:rPr>
              <w:t xml:space="preserve"> Capacity, and then provide or link to the proposed definition for such term</w:t>
            </w:r>
            <w:r w:rsidR="00076202">
              <w:rPr>
                <w:rFonts w:cs="Poppins"/>
                <w:i/>
                <w:iCs/>
              </w:rPr>
              <w:t xml:space="preserve"> in the CUSC as </w:t>
            </w:r>
            <w:r w:rsidR="000C51EE">
              <w:rPr>
                <w:rFonts w:cs="Poppins"/>
                <w:i/>
                <w:iCs/>
              </w:rPr>
              <w:t>introduced</w:t>
            </w:r>
            <w:r w:rsidR="00076202">
              <w:rPr>
                <w:rFonts w:cs="Poppins"/>
                <w:i/>
                <w:iCs/>
              </w:rPr>
              <w:t xml:space="preserve"> by CMP343.  This was an area of enormous confusion in the CMP434/435 working groups and the text here needs to be a model of clarity</w:t>
            </w:r>
            <w:r w:rsidR="00820F77">
              <w:rPr>
                <w:rFonts w:cs="Poppins"/>
                <w:i/>
                <w:iCs/>
              </w:rPr>
              <w:t>.</w:t>
            </w:r>
          </w:p>
          <w:p w14:paraId="0C553A52" w14:textId="77777777" w:rsidR="00820F77" w:rsidRDefault="00820F77" w:rsidP="00ED7C09">
            <w:pPr>
              <w:pStyle w:val="BodyText"/>
              <w:rPr>
                <w:rFonts w:cs="Poppins"/>
                <w:i/>
                <w:iCs/>
              </w:rPr>
            </w:pPr>
            <w:r>
              <w:rPr>
                <w:rFonts w:cs="Poppins"/>
                <w:i/>
                <w:iCs/>
              </w:rPr>
              <w:t>On a drafting point in the second line of the second paragraph it would be clearer to write “increase in MW per acr</w:t>
            </w:r>
            <w:r w:rsidR="0007215C">
              <w:rPr>
                <w:rFonts w:cs="Poppins"/>
                <w:i/>
                <w:iCs/>
              </w:rPr>
              <w:t>e</w:t>
            </w:r>
            <w:r>
              <w:rPr>
                <w:rFonts w:cs="Poppins"/>
                <w:i/>
                <w:iCs/>
              </w:rPr>
              <w:t xml:space="preserve">age” the other way around </w:t>
            </w:r>
            <w:proofErr w:type="gramStart"/>
            <w:r>
              <w:rPr>
                <w:rFonts w:cs="Poppins"/>
                <w:i/>
                <w:iCs/>
              </w:rPr>
              <w:t>ie</w:t>
            </w:r>
            <w:proofErr w:type="gramEnd"/>
            <w:r>
              <w:rPr>
                <w:rFonts w:cs="Poppins"/>
                <w:i/>
                <w:iCs/>
              </w:rPr>
              <w:t xml:space="preserve"> “decrease in </w:t>
            </w:r>
            <w:r w:rsidR="0007215C">
              <w:rPr>
                <w:rFonts w:cs="Poppins"/>
                <w:i/>
                <w:iCs/>
              </w:rPr>
              <w:t>acreage per MW”.</w:t>
            </w:r>
          </w:p>
          <w:p w14:paraId="30217237" w14:textId="77777777" w:rsidR="0059596D" w:rsidRDefault="0059596D" w:rsidP="00ED7C09">
            <w:pPr>
              <w:pStyle w:val="BodyText"/>
              <w:rPr>
                <w:rFonts w:cs="Poppins"/>
                <w:i/>
                <w:iCs/>
              </w:rPr>
            </w:pPr>
            <w:r>
              <w:rPr>
                <w:rFonts w:cs="Poppins"/>
                <w:i/>
                <w:iCs/>
              </w:rPr>
              <w:t>Add</w:t>
            </w:r>
            <w:r w:rsidR="000C51EE">
              <w:rPr>
                <w:rFonts w:cs="Poppins"/>
                <w:i/>
                <w:iCs/>
              </w:rPr>
              <w:t xml:space="preserve"> a</w:t>
            </w:r>
            <w:r>
              <w:rPr>
                <w:rFonts w:cs="Poppins"/>
                <w:i/>
                <w:iCs/>
              </w:rPr>
              <w:t xml:space="preserve">t the end of the last paragraph “Users should contact NESO to explain </w:t>
            </w:r>
            <w:r w:rsidR="000C51EE">
              <w:rPr>
                <w:rFonts w:cs="Poppins"/>
                <w:i/>
                <w:iCs/>
              </w:rPr>
              <w:t xml:space="preserve">the situation if the Project does not meet the minimum land criteria so that if agreement is not reached the TEC can be reduced </w:t>
            </w:r>
            <w:r w:rsidR="00E316B1">
              <w:rPr>
                <w:rFonts w:cs="Poppins"/>
                <w:i/>
                <w:iCs/>
              </w:rPr>
              <w:t>accordingly</w:t>
            </w:r>
            <w:r w:rsidR="000C51EE">
              <w:rPr>
                <w:rFonts w:cs="Poppins"/>
                <w:i/>
                <w:iCs/>
              </w:rPr>
              <w:t xml:space="preserve"> when going through the Gate 2 assessment.”</w:t>
            </w:r>
          </w:p>
          <w:p w14:paraId="3B361DE1" w14:textId="192CAB8A" w:rsidR="00E941A3" w:rsidRDefault="00E941A3" w:rsidP="00ED7C09">
            <w:pPr>
              <w:pStyle w:val="BodyText"/>
              <w:rPr>
                <w:rFonts w:cs="Poppins"/>
                <w:i/>
                <w:iCs/>
              </w:rPr>
            </w:pPr>
            <w:r>
              <w:rPr>
                <w:rFonts w:cs="Poppins"/>
                <w:i/>
                <w:iCs/>
              </w:rPr>
              <w:t>Section 4.5, as the date the land was secured will be used for queue ordering post 2030</w:t>
            </w:r>
            <w:r w:rsidR="006E16B8">
              <w:rPr>
                <w:rFonts w:cs="Poppins"/>
                <w:i/>
                <w:iCs/>
              </w:rPr>
              <w:t xml:space="preserve"> (see CNDM)</w:t>
            </w:r>
            <w:r>
              <w:rPr>
                <w:rFonts w:cs="Poppins"/>
                <w:i/>
                <w:iCs/>
              </w:rPr>
              <w:t>, add a requirem</w:t>
            </w:r>
            <w:r w:rsidR="006E16B8">
              <w:rPr>
                <w:rFonts w:cs="Poppins"/>
                <w:i/>
                <w:iCs/>
              </w:rPr>
              <w:t>e</w:t>
            </w:r>
            <w:r>
              <w:rPr>
                <w:rFonts w:cs="Poppins"/>
                <w:i/>
                <w:iCs/>
              </w:rPr>
              <w:t>nt to state when the land was secured.</w:t>
            </w:r>
            <w:r w:rsidR="006E16B8">
              <w:rPr>
                <w:rFonts w:cs="Poppins"/>
                <w:i/>
                <w:iCs/>
              </w:rPr>
              <w:t xml:space="preserve">  It will have to be </w:t>
            </w:r>
            <w:r w:rsidR="00D13C06">
              <w:rPr>
                <w:rFonts w:cs="Poppins"/>
                <w:i/>
                <w:iCs/>
              </w:rPr>
              <w:t>specified</w:t>
            </w:r>
            <w:r w:rsidR="006E16B8">
              <w:rPr>
                <w:rFonts w:cs="Poppins"/>
                <w:i/>
                <w:iCs/>
              </w:rPr>
              <w:t xml:space="preserve"> what this</w:t>
            </w:r>
            <w:r w:rsidR="00D13C06">
              <w:rPr>
                <w:rFonts w:cs="Poppins"/>
                <w:i/>
                <w:iCs/>
              </w:rPr>
              <w:t xml:space="preserve"> </w:t>
            </w:r>
            <w:proofErr w:type="gramStart"/>
            <w:r w:rsidR="00D13C06">
              <w:rPr>
                <w:rFonts w:cs="Poppins"/>
                <w:i/>
                <w:iCs/>
              </w:rPr>
              <w:t>actually</w:t>
            </w:r>
            <w:r w:rsidR="006E16B8">
              <w:rPr>
                <w:rFonts w:cs="Poppins"/>
                <w:i/>
                <w:iCs/>
              </w:rPr>
              <w:t xml:space="preserve"> </w:t>
            </w:r>
            <w:r w:rsidR="00D13C06">
              <w:rPr>
                <w:rFonts w:cs="Poppins"/>
                <w:i/>
                <w:iCs/>
              </w:rPr>
              <w:t>means</w:t>
            </w:r>
            <w:proofErr w:type="gramEnd"/>
            <w:r w:rsidR="00D13C06">
              <w:rPr>
                <w:rFonts w:cs="Poppins"/>
                <w:i/>
                <w:iCs/>
              </w:rPr>
              <w:t>.</w:t>
            </w:r>
          </w:p>
          <w:p w14:paraId="6C1DDE8E" w14:textId="3FCD5D65" w:rsidR="00810B8B" w:rsidRDefault="00810B8B" w:rsidP="00ED7C09">
            <w:pPr>
              <w:pStyle w:val="BodyText"/>
              <w:rPr>
                <w:rFonts w:cs="Poppins"/>
                <w:i/>
                <w:iCs/>
              </w:rPr>
            </w:pPr>
            <w:r>
              <w:rPr>
                <w:rFonts w:cs="Poppins"/>
                <w:i/>
                <w:iCs/>
              </w:rPr>
              <w:t xml:space="preserve">Section 4.6, amend text to </w:t>
            </w:r>
            <w:r w:rsidR="00D13C06">
              <w:rPr>
                <w:rFonts w:cs="Poppins"/>
                <w:i/>
                <w:iCs/>
              </w:rPr>
              <w:t>recognise</w:t>
            </w:r>
            <w:r>
              <w:rPr>
                <w:rFonts w:cs="Poppins"/>
                <w:i/>
                <w:iCs/>
              </w:rPr>
              <w:t xml:space="preserve"> that the land may be leased not owned.</w:t>
            </w:r>
          </w:p>
          <w:p w14:paraId="32395F7F" w14:textId="0C07413A" w:rsidR="00D13C06" w:rsidRDefault="00815F1C" w:rsidP="009329B2">
            <w:pPr>
              <w:pStyle w:val="BodyText"/>
              <w:rPr>
                <w:rFonts w:cs="Poppins"/>
                <w:i/>
                <w:iCs/>
              </w:rPr>
            </w:pPr>
            <w:r>
              <w:rPr>
                <w:rFonts w:cs="Poppins"/>
                <w:i/>
                <w:iCs/>
              </w:rPr>
              <w:t>Section 4.10 is extremely ha</w:t>
            </w:r>
            <w:r w:rsidR="00A65A12">
              <w:rPr>
                <w:rFonts w:cs="Poppins"/>
                <w:i/>
                <w:iCs/>
              </w:rPr>
              <w:t>r</w:t>
            </w:r>
            <w:r>
              <w:rPr>
                <w:rFonts w:cs="Poppins"/>
                <w:i/>
                <w:iCs/>
              </w:rPr>
              <w:t>d to follow and would befit from re-writing</w:t>
            </w:r>
            <w:r w:rsidR="00A65A12">
              <w:rPr>
                <w:rFonts w:cs="Poppins"/>
                <w:i/>
                <w:iCs/>
              </w:rPr>
              <w:t xml:space="preserve"> generally</w:t>
            </w:r>
            <w:r>
              <w:rPr>
                <w:rFonts w:cs="Poppins"/>
                <w:i/>
                <w:iCs/>
              </w:rPr>
              <w:t>.  Text in the middle parag</w:t>
            </w:r>
            <w:r w:rsidR="00A65A12">
              <w:rPr>
                <w:rFonts w:cs="Poppins"/>
                <w:i/>
                <w:iCs/>
              </w:rPr>
              <w:t>r</w:t>
            </w:r>
            <w:r>
              <w:rPr>
                <w:rFonts w:cs="Poppins"/>
                <w:i/>
                <w:iCs/>
              </w:rPr>
              <w:t>aph doesn’t read correctly</w:t>
            </w:r>
            <w:r w:rsidR="00CE53AA">
              <w:rPr>
                <w:rFonts w:cs="Poppins"/>
                <w:i/>
                <w:iCs/>
              </w:rPr>
              <w:t xml:space="preserve">, </w:t>
            </w:r>
            <w:proofErr w:type="gramStart"/>
            <w:r>
              <w:rPr>
                <w:rFonts w:cs="Poppins"/>
                <w:i/>
                <w:iCs/>
              </w:rPr>
              <w:t>ie</w:t>
            </w:r>
            <w:proofErr w:type="gramEnd"/>
            <w:r>
              <w:rPr>
                <w:rFonts w:cs="Poppins"/>
                <w:i/>
                <w:iCs/>
              </w:rPr>
              <w:t xml:space="preserve"> </w:t>
            </w:r>
            <w:r w:rsidR="009329B2">
              <w:rPr>
                <w:rFonts w:cs="Poppins"/>
                <w:i/>
                <w:iCs/>
              </w:rPr>
              <w:t>“</w:t>
            </w:r>
            <w:r w:rsidR="009329B2" w:rsidRPr="009329B2">
              <w:rPr>
                <w:rFonts w:cs="Poppins"/>
                <w:i/>
                <w:iCs/>
              </w:rPr>
              <w:t xml:space="preserve">we don’t think this is an appropriate exception </w:t>
            </w:r>
            <w:r w:rsidR="009329B2" w:rsidRPr="009329B2">
              <w:rPr>
                <w:rFonts w:cs="Poppins"/>
                <w:i/>
                <w:iCs/>
              </w:rPr>
              <w:lastRenderedPageBreak/>
              <w:t>where the only land the User</w:t>
            </w:r>
            <w:r w:rsidR="009329B2">
              <w:rPr>
                <w:rFonts w:cs="Poppins"/>
                <w:i/>
                <w:iCs/>
              </w:rPr>
              <w:t xml:space="preserve"> </w:t>
            </w:r>
            <w:r w:rsidR="009329B2" w:rsidRPr="009329B2">
              <w:rPr>
                <w:rFonts w:cs="Poppins"/>
                <w:i/>
                <w:iCs/>
              </w:rPr>
              <w:t>needs for project is in Probate as not appropriate to provide a Gate 2 Offer</w:t>
            </w:r>
            <w:r w:rsidR="009329B2">
              <w:rPr>
                <w:rFonts w:cs="Poppins"/>
                <w:i/>
                <w:iCs/>
              </w:rPr>
              <w:t>”.</w:t>
            </w:r>
          </w:p>
          <w:p w14:paraId="1642E0D0" w14:textId="01793FED" w:rsidR="009329B2" w:rsidRDefault="00AB7E08" w:rsidP="009329B2">
            <w:pPr>
              <w:pStyle w:val="BodyText"/>
              <w:rPr>
                <w:rFonts w:cs="Poppins"/>
                <w:i/>
                <w:iCs/>
              </w:rPr>
            </w:pPr>
            <w:r>
              <w:rPr>
                <w:rFonts w:cs="Poppins"/>
                <w:i/>
                <w:iCs/>
              </w:rPr>
              <w:t>Section 4.12, add at the end “or other evidence of purchase</w:t>
            </w:r>
            <w:r w:rsidR="00BF0DE7">
              <w:rPr>
                <w:rFonts w:cs="Poppins"/>
                <w:i/>
                <w:iCs/>
              </w:rPr>
              <w:t xml:space="preserve"> or securing the required long-term lease”</w:t>
            </w:r>
          </w:p>
          <w:p w14:paraId="51AE5DC1" w14:textId="3D4683A9" w:rsidR="00BF0DE7" w:rsidRDefault="001A0E5A" w:rsidP="00E86A2A">
            <w:pPr>
              <w:pStyle w:val="BodyText"/>
              <w:rPr>
                <w:rFonts w:cs="Poppins"/>
                <w:i/>
                <w:iCs/>
              </w:rPr>
            </w:pPr>
            <w:r>
              <w:rPr>
                <w:rFonts w:cs="Poppins"/>
                <w:i/>
                <w:iCs/>
              </w:rPr>
              <w:t>T</w:t>
            </w:r>
            <w:r w:rsidR="00E86A2A">
              <w:rPr>
                <w:rFonts w:cs="Poppins"/>
                <w:i/>
                <w:iCs/>
              </w:rPr>
              <w:t>he box at the bottom of Section 5.</w:t>
            </w:r>
            <w:r w:rsidR="00D2580D">
              <w:rPr>
                <w:rFonts w:cs="Poppins"/>
                <w:i/>
                <w:iCs/>
              </w:rPr>
              <w:t>1</w:t>
            </w:r>
            <w:r w:rsidR="00E86A2A">
              <w:rPr>
                <w:rFonts w:cs="Poppins"/>
                <w:i/>
                <w:iCs/>
              </w:rPr>
              <w:t xml:space="preserve"> </w:t>
            </w:r>
            <w:r w:rsidR="00786AE3">
              <w:rPr>
                <w:rFonts w:cs="Poppins"/>
                <w:i/>
                <w:iCs/>
              </w:rPr>
              <w:t>clarifies that Small and Medium Embedded Generation</w:t>
            </w:r>
            <w:r w:rsidR="00E86A2A">
              <w:rPr>
                <w:rFonts w:cs="Poppins"/>
                <w:i/>
                <w:iCs/>
              </w:rPr>
              <w:t xml:space="preserve"> “</w:t>
            </w:r>
            <w:r w:rsidR="00E86A2A" w:rsidRPr="00E86A2A">
              <w:rPr>
                <w:rFonts w:cs="Poppins"/>
                <w:i/>
                <w:iCs/>
              </w:rPr>
              <w:t>Includes Relevant Embedded Small Power Stations, Relevant Embedded Medium Power Stations, Embedded Small Power Stations</w:t>
            </w:r>
            <w:r w:rsidR="00E86A2A">
              <w:rPr>
                <w:rFonts w:cs="Poppins"/>
                <w:i/>
                <w:iCs/>
              </w:rPr>
              <w:t xml:space="preserve"> </w:t>
            </w:r>
            <w:r w:rsidR="00E86A2A" w:rsidRPr="00E86A2A">
              <w:rPr>
                <w:rFonts w:cs="Poppins"/>
                <w:i/>
                <w:iCs/>
              </w:rPr>
              <w:t>with a Bilateral Embedded Generation Agreement and Embedded Medium Power Stations with a Bilateral Embedded Generation</w:t>
            </w:r>
            <w:r w:rsidR="00E86A2A">
              <w:rPr>
                <w:rFonts w:cs="Poppins"/>
                <w:i/>
                <w:iCs/>
              </w:rPr>
              <w:t xml:space="preserve"> </w:t>
            </w:r>
            <w:r w:rsidR="00E86A2A" w:rsidRPr="00E86A2A">
              <w:rPr>
                <w:rFonts w:cs="Poppins"/>
                <w:i/>
                <w:iCs/>
              </w:rPr>
              <w:t>Agreement.</w:t>
            </w:r>
            <w:r w:rsidR="00D2580D">
              <w:rPr>
                <w:rFonts w:cs="Poppins"/>
                <w:i/>
                <w:iCs/>
              </w:rPr>
              <w:t xml:space="preserve">”  </w:t>
            </w:r>
            <w:r w:rsidR="006B294C">
              <w:rPr>
                <w:rFonts w:cs="Poppins"/>
                <w:i/>
                <w:iCs/>
              </w:rPr>
              <w:t xml:space="preserve">This is </w:t>
            </w:r>
            <w:r w:rsidR="000C45FF">
              <w:rPr>
                <w:rFonts w:cs="Poppins"/>
                <w:i/>
                <w:iCs/>
              </w:rPr>
              <w:t>repeated</w:t>
            </w:r>
            <w:r w:rsidR="006B294C">
              <w:rPr>
                <w:rFonts w:cs="Poppins"/>
                <w:i/>
                <w:iCs/>
              </w:rPr>
              <w:t xml:space="preserve"> on numerous </w:t>
            </w:r>
            <w:proofErr w:type="gramStart"/>
            <w:r w:rsidR="006B294C">
              <w:rPr>
                <w:rFonts w:cs="Poppins"/>
                <w:i/>
                <w:iCs/>
              </w:rPr>
              <w:t>pages, but</w:t>
            </w:r>
            <w:proofErr w:type="gramEnd"/>
            <w:r w:rsidR="006B294C">
              <w:rPr>
                <w:rFonts w:cs="Poppins"/>
                <w:i/>
                <w:iCs/>
              </w:rPr>
              <w:t xml:space="preserve"> would be unnecessary if the term “Relevant Embedded Generation” was used instead.  The </w:t>
            </w:r>
            <w:r w:rsidR="000C45FF">
              <w:rPr>
                <w:rFonts w:cs="Poppins"/>
                <w:i/>
                <w:iCs/>
              </w:rPr>
              <w:t>first</w:t>
            </w:r>
            <w:r w:rsidR="006B294C">
              <w:rPr>
                <w:rFonts w:cs="Poppins"/>
                <w:i/>
                <w:iCs/>
              </w:rPr>
              <w:t xml:space="preserve"> time it is used however, it would be helpful to clarify that this term takes the meaning as will be </w:t>
            </w:r>
            <w:r w:rsidR="000C45FF">
              <w:rPr>
                <w:rFonts w:cs="Poppins"/>
                <w:i/>
                <w:iCs/>
              </w:rPr>
              <w:t>given to it following implementation of CMP434 and that it excludes Large Embedded.</w:t>
            </w:r>
          </w:p>
          <w:p w14:paraId="3A9C85D1" w14:textId="3CEDB244" w:rsidR="0043011A" w:rsidRDefault="0043011A" w:rsidP="00E86A2A">
            <w:pPr>
              <w:pStyle w:val="BodyText"/>
              <w:rPr>
                <w:rFonts w:cs="Poppins"/>
                <w:i/>
                <w:iCs/>
              </w:rPr>
            </w:pPr>
            <w:r>
              <w:rPr>
                <w:rFonts w:cs="Poppins"/>
                <w:i/>
                <w:iCs/>
              </w:rPr>
              <w:t xml:space="preserve">Section 5.2 needs to be reissued as the first line of the first bullet is obscured by the box above it.  The text at the end of </w:t>
            </w:r>
            <w:r w:rsidR="0052783D">
              <w:rPr>
                <w:rFonts w:cs="Poppins"/>
                <w:i/>
                <w:iCs/>
              </w:rPr>
              <w:t xml:space="preserve">the first bullet is confusing and could be deleted </w:t>
            </w:r>
            <w:proofErr w:type="gramStart"/>
            <w:r w:rsidR="0052783D">
              <w:rPr>
                <w:rFonts w:cs="Poppins"/>
                <w:i/>
                <w:iCs/>
              </w:rPr>
              <w:t>ie</w:t>
            </w:r>
            <w:proofErr w:type="gramEnd"/>
            <w:r w:rsidR="0052783D">
              <w:rPr>
                <w:rFonts w:cs="Poppins"/>
                <w:i/>
                <w:iCs/>
              </w:rPr>
              <w:t xml:space="preserve"> remove “</w:t>
            </w:r>
            <w:r w:rsidR="00561C95" w:rsidRPr="00561C95">
              <w:rPr>
                <w:rFonts w:cs="Poppins"/>
                <w:i/>
                <w:iCs/>
              </w:rPr>
              <w:t>which is the land route to meeting the Gate 2 Readiness Criteria</w:t>
            </w:r>
            <w:r w:rsidR="00561C95">
              <w:rPr>
                <w:rFonts w:cs="Poppins"/>
                <w:i/>
                <w:iCs/>
              </w:rPr>
              <w:t>”.</w:t>
            </w:r>
          </w:p>
          <w:p w14:paraId="007F993B" w14:textId="2763EEDE" w:rsidR="00561C95" w:rsidRDefault="00142B42" w:rsidP="00E86A2A">
            <w:pPr>
              <w:pStyle w:val="BodyText"/>
              <w:rPr>
                <w:rFonts w:cs="Poppins"/>
                <w:i/>
                <w:iCs/>
              </w:rPr>
            </w:pPr>
            <w:r>
              <w:rPr>
                <w:rFonts w:cs="Poppins"/>
                <w:i/>
                <w:iCs/>
              </w:rPr>
              <w:t xml:space="preserve">Section 7.1, NESO needs to explain how they intend to </w:t>
            </w:r>
            <w:r w:rsidR="0043457F">
              <w:rPr>
                <w:rFonts w:cs="Poppins"/>
                <w:i/>
                <w:iCs/>
              </w:rPr>
              <w:t xml:space="preserve">reduce a </w:t>
            </w:r>
            <w:r w:rsidR="00DE47A4">
              <w:rPr>
                <w:rFonts w:cs="Poppins"/>
                <w:i/>
                <w:iCs/>
              </w:rPr>
              <w:t>User’s</w:t>
            </w:r>
            <w:r w:rsidR="0043457F">
              <w:rPr>
                <w:rFonts w:cs="Poppins"/>
                <w:i/>
                <w:iCs/>
              </w:rPr>
              <w:t xml:space="preserve"> total </w:t>
            </w:r>
            <w:r w:rsidR="00DE47A4">
              <w:rPr>
                <w:rFonts w:cs="Poppins"/>
                <w:i/>
                <w:iCs/>
              </w:rPr>
              <w:t>installed</w:t>
            </w:r>
            <w:r w:rsidR="0043457F">
              <w:rPr>
                <w:rFonts w:cs="Poppins"/>
                <w:i/>
                <w:iCs/>
              </w:rPr>
              <w:t xml:space="preserve"> cap</w:t>
            </w:r>
            <w:r w:rsidR="00DE47A4">
              <w:rPr>
                <w:rFonts w:cs="Poppins"/>
                <w:i/>
                <w:iCs/>
              </w:rPr>
              <w:t>aci</w:t>
            </w:r>
            <w:r w:rsidR="0043457F">
              <w:rPr>
                <w:rFonts w:cs="Poppins"/>
                <w:i/>
                <w:iCs/>
              </w:rPr>
              <w:t>ty</w:t>
            </w:r>
            <w:r w:rsidR="004B3976">
              <w:rPr>
                <w:rFonts w:cs="Poppins"/>
                <w:i/>
                <w:iCs/>
              </w:rPr>
              <w:t xml:space="preserve"> </w:t>
            </w:r>
            <w:r w:rsidR="0043457F">
              <w:rPr>
                <w:rFonts w:cs="Poppins"/>
                <w:i/>
                <w:iCs/>
              </w:rPr>
              <w:t>(or</w:t>
            </w:r>
            <w:r w:rsidR="00DE47A4">
              <w:rPr>
                <w:rFonts w:cs="Poppins"/>
                <w:i/>
                <w:iCs/>
              </w:rPr>
              <w:t xml:space="preserve"> a</w:t>
            </w:r>
            <w:r w:rsidR="0043457F">
              <w:rPr>
                <w:rFonts w:cs="Poppins"/>
                <w:i/>
                <w:iCs/>
              </w:rPr>
              <w:t>ltern</w:t>
            </w:r>
            <w:r w:rsidR="00DE47A4">
              <w:rPr>
                <w:rFonts w:cs="Poppins"/>
                <w:i/>
                <w:iCs/>
              </w:rPr>
              <w:t>a</w:t>
            </w:r>
            <w:r w:rsidR="0043457F">
              <w:rPr>
                <w:rFonts w:cs="Poppins"/>
                <w:i/>
                <w:iCs/>
              </w:rPr>
              <w:t xml:space="preserve">tively re-write to say that the User will </w:t>
            </w:r>
            <w:r w:rsidR="00DE47A4">
              <w:rPr>
                <w:rFonts w:cs="Poppins"/>
                <w:i/>
                <w:iCs/>
              </w:rPr>
              <w:t>lose</w:t>
            </w:r>
            <w:r w:rsidR="0043457F">
              <w:rPr>
                <w:rFonts w:cs="Poppins"/>
                <w:i/>
                <w:iCs/>
              </w:rPr>
              <w:t xml:space="preserve"> the right to Export from </w:t>
            </w:r>
            <w:r w:rsidR="004B3976">
              <w:rPr>
                <w:rFonts w:cs="Poppins"/>
                <w:i/>
                <w:iCs/>
              </w:rPr>
              <w:t xml:space="preserve">installed </w:t>
            </w:r>
            <w:r w:rsidR="0043457F">
              <w:rPr>
                <w:rFonts w:cs="Poppins"/>
                <w:i/>
                <w:iCs/>
              </w:rPr>
              <w:t>c</w:t>
            </w:r>
            <w:r w:rsidR="004B3976">
              <w:rPr>
                <w:rFonts w:cs="Poppins"/>
                <w:i/>
                <w:iCs/>
              </w:rPr>
              <w:t>a</w:t>
            </w:r>
            <w:r w:rsidR="0043457F">
              <w:rPr>
                <w:rFonts w:cs="Poppins"/>
                <w:i/>
                <w:iCs/>
              </w:rPr>
              <w:t>pa</w:t>
            </w:r>
            <w:r w:rsidR="004B3976">
              <w:rPr>
                <w:rFonts w:cs="Poppins"/>
                <w:i/>
                <w:iCs/>
              </w:rPr>
              <w:t>c</w:t>
            </w:r>
            <w:r w:rsidR="0043457F">
              <w:rPr>
                <w:rFonts w:cs="Poppins"/>
                <w:i/>
                <w:iCs/>
              </w:rPr>
              <w:t xml:space="preserve">ity </w:t>
            </w:r>
            <w:proofErr w:type="gramStart"/>
            <w:r w:rsidR="0043457F">
              <w:rPr>
                <w:rFonts w:cs="Poppins"/>
                <w:i/>
                <w:iCs/>
              </w:rPr>
              <w:t>in excess of</w:t>
            </w:r>
            <w:proofErr w:type="gramEnd"/>
            <w:r w:rsidR="0043457F">
              <w:rPr>
                <w:rFonts w:cs="Poppins"/>
                <w:i/>
                <w:iCs/>
              </w:rPr>
              <w:t xml:space="preserve"> </w:t>
            </w:r>
            <w:r w:rsidR="00DE47A4">
              <w:rPr>
                <w:rFonts w:cs="Poppins"/>
                <w:i/>
                <w:iCs/>
              </w:rPr>
              <w:t>such reduced amount – presumably by reducing TEC</w:t>
            </w:r>
            <w:r w:rsidR="004B3976">
              <w:rPr>
                <w:rFonts w:cs="Poppins"/>
                <w:i/>
                <w:iCs/>
              </w:rPr>
              <w:t xml:space="preserve"> </w:t>
            </w:r>
            <w:r w:rsidR="00DE47A4">
              <w:rPr>
                <w:rFonts w:cs="Poppins"/>
                <w:i/>
                <w:iCs/>
              </w:rPr>
              <w:t>in some way).</w:t>
            </w:r>
          </w:p>
          <w:p w14:paraId="77E33C82" w14:textId="6835E0BD" w:rsidR="00AF2984" w:rsidRDefault="005F40E7" w:rsidP="00E86A2A">
            <w:pPr>
              <w:pStyle w:val="BodyText"/>
              <w:rPr>
                <w:rFonts w:cs="Poppins"/>
                <w:i/>
                <w:iCs/>
              </w:rPr>
            </w:pPr>
            <w:proofErr w:type="gramStart"/>
            <w:r>
              <w:rPr>
                <w:rFonts w:cs="Poppins"/>
                <w:i/>
                <w:iCs/>
              </w:rPr>
              <w:t>Also</w:t>
            </w:r>
            <w:proofErr w:type="gramEnd"/>
            <w:r>
              <w:rPr>
                <w:rFonts w:cs="Poppins"/>
                <w:i/>
                <w:iCs/>
              </w:rPr>
              <w:t xml:space="preserve"> the following words </w:t>
            </w:r>
            <w:r w:rsidR="00D0101E">
              <w:rPr>
                <w:rFonts w:cs="Poppins"/>
                <w:i/>
                <w:iCs/>
              </w:rPr>
              <w:t xml:space="preserve">seem superfluous and could be deleted: </w:t>
            </w:r>
            <w:r w:rsidR="00AB0BBE">
              <w:rPr>
                <w:rFonts w:cs="Poppins"/>
                <w:i/>
                <w:iCs/>
              </w:rPr>
              <w:t>“</w:t>
            </w:r>
            <w:r w:rsidR="00AB0BBE" w:rsidRPr="00AB0BBE">
              <w:rPr>
                <w:rFonts w:cs="Poppins"/>
                <w:i/>
                <w:iCs/>
              </w:rPr>
              <w:t>to move from Queue Management Milestone M3 (“M3”) to M1</w:t>
            </w:r>
            <w:r w:rsidR="00AB0BBE">
              <w:rPr>
                <w:rFonts w:cs="Poppins"/>
                <w:i/>
                <w:iCs/>
              </w:rPr>
              <w:t>”.</w:t>
            </w:r>
          </w:p>
          <w:p w14:paraId="18E1D86E" w14:textId="3BBDB458" w:rsidR="00BE3867" w:rsidRDefault="00BE3867" w:rsidP="00BE3867">
            <w:pPr>
              <w:pStyle w:val="BodyText"/>
              <w:rPr>
                <w:rFonts w:cs="Poppins"/>
                <w:i/>
                <w:iCs/>
              </w:rPr>
            </w:pPr>
            <w:r>
              <w:rPr>
                <w:rFonts w:cs="Poppins"/>
                <w:i/>
                <w:iCs/>
              </w:rPr>
              <w:t>In section 9.2 add “may be” before “liable” in the penultimate bullet point.</w:t>
            </w:r>
          </w:p>
          <w:p w14:paraId="5D8E8D2B" w14:textId="2BE409F4" w:rsidR="006451A7" w:rsidRPr="00FD693D" w:rsidRDefault="006451A7" w:rsidP="00BD06BF">
            <w:pPr>
              <w:pStyle w:val="BodyText"/>
              <w:rPr>
                <w:rFonts w:cs="Poppins"/>
                <w:i/>
                <w:iCs/>
              </w:rPr>
            </w:pPr>
          </w:p>
        </w:tc>
      </w:tr>
    </w:tbl>
    <w:p w14:paraId="22059F24" w14:textId="77777777" w:rsidR="003436C9" w:rsidRDefault="003436C9" w:rsidP="00696037">
      <w:pPr>
        <w:tabs>
          <w:tab w:val="left" w:pos="2120"/>
        </w:tabs>
        <w:rPr>
          <w:b/>
          <w:bCs/>
        </w:rPr>
      </w:pPr>
    </w:p>
    <w:tbl>
      <w:tblPr>
        <w:tblStyle w:val="TableGrid"/>
        <w:tblW w:w="0" w:type="auto"/>
        <w:tblLook w:val="04A0" w:firstRow="1" w:lastRow="0" w:firstColumn="1" w:lastColumn="0" w:noHBand="0" w:noVBand="1"/>
      </w:tblPr>
      <w:tblGrid>
        <w:gridCol w:w="9742"/>
      </w:tblGrid>
      <w:tr w:rsidR="002704B9" w:rsidRPr="001208CB" w14:paraId="201A09C7" w14:textId="77777777" w:rsidTr="00B267E2">
        <w:tc>
          <w:tcPr>
            <w:tcW w:w="9742" w:type="dxa"/>
          </w:tcPr>
          <w:p w14:paraId="2B922173" w14:textId="2D022E33" w:rsidR="002704B9" w:rsidRPr="00CB713D" w:rsidRDefault="002704B9" w:rsidP="00B267E2">
            <w:pPr>
              <w:pStyle w:val="BodyText"/>
              <w:rPr>
                <w:rFonts w:cs="Poppins"/>
                <w:b/>
                <w:bCs/>
              </w:rPr>
            </w:pPr>
            <w:r w:rsidRPr="00CB713D">
              <w:rPr>
                <w:rFonts w:cs="Poppins"/>
                <w:b/>
                <w:bCs/>
              </w:rPr>
              <w:t>Project Designation Methodology</w:t>
            </w:r>
          </w:p>
        </w:tc>
      </w:tr>
      <w:tr w:rsidR="002704B9" w:rsidRPr="00406CA9" w14:paraId="19635405" w14:textId="77777777" w:rsidTr="00B267E2">
        <w:tc>
          <w:tcPr>
            <w:tcW w:w="9742" w:type="dxa"/>
          </w:tcPr>
          <w:p w14:paraId="4075DFF7" w14:textId="0AB6483F" w:rsidR="002704B9" w:rsidRDefault="00680D5D" w:rsidP="00B267E2">
            <w:pPr>
              <w:pStyle w:val="BodyText"/>
              <w:rPr>
                <w:rFonts w:cs="Poppins"/>
                <w:i/>
                <w:iCs/>
              </w:rPr>
            </w:pPr>
            <w:r>
              <w:rPr>
                <w:rFonts w:cs="Poppins"/>
                <w:i/>
                <w:iCs/>
              </w:rPr>
              <w:t xml:space="preserve">At the start of the </w:t>
            </w:r>
            <w:proofErr w:type="gramStart"/>
            <w:r>
              <w:rPr>
                <w:rFonts w:cs="Poppins"/>
                <w:i/>
                <w:iCs/>
              </w:rPr>
              <w:t>Methodology</w:t>
            </w:r>
            <w:proofErr w:type="gramEnd"/>
            <w:r>
              <w:rPr>
                <w:rFonts w:cs="Poppins"/>
                <w:i/>
                <w:iCs/>
              </w:rPr>
              <w:t xml:space="preserve"> it would be helpful if there was a clear statement of what are the </w:t>
            </w:r>
            <w:r w:rsidR="00594ADA">
              <w:rPr>
                <w:rFonts w:cs="Poppins"/>
                <w:i/>
                <w:iCs/>
              </w:rPr>
              <w:t xml:space="preserve">expected benefits to the system of utilising Designation, and </w:t>
            </w:r>
            <w:r w:rsidR="006F3CA1">
              <w:rPr>
                <w:rFonts w:cs="Poppins"/>
                <w:i/>
                <w:iCs/>
              </w:rPr>
              <w:t xml:space="preserve">the </w:t>
            </w:r>
            <w:r w:rsidR="00594ADA">
              <w:rPr>
                <w:rFonts w:cs="Poppins"/>
                <w:i/>
                <w:iCs/>
              </w:rPr>
              <w:t>costs and ri</w:t>
            </w:r>
            <w:r w:rsidR="00D11C7E">
              <w:rPr>
                <w:rFonts w:cs="Poppins"/>
                <w:i/>
                <w:iCs/>
              </w:rPr>
              <w:t>s</w:t>
            </w:r>
            <w:r w:rsidR="00594ADA">
              <w:rPr>
                <w:rFonts w:cs="Poppins"/>
                <w:i/>
                <w:iCs/>
              </w:rPr>
              <w:t xml:space="preserve">ks </w:t>
            </w:r>
            <w:r w:rsidR="00954E5B">
              <w:rPr>
                <w:rFonts w:cs="Poppins"/>
                <w:i/>
                <w:iCs/>
              </w:rPr>
              <w:t>aris</w:t>
            </w:r>
            <w:r w:rsidR="00D11C7E">
              <w:rPr>
                <w:rFonts w:cs="Poppins"/>
                <w:i/>
                <w:iCs/>
              </w:rPr>
              <w:t>i</w:t>
            </w:r>
            <w:r w:rsidR="00954E5B">
              <w:rPr>
                <w:rFonts w:cs="Poppins"/>
                <w:i/>
                <w:iCs/>
              </w:rPr>
              <w:t xml:space="preserve">ng (including to end consumers).  It could then explain </w:t>
            </w:r>
            <w:r w:rsidR="00594ADA">
              <w:rPr>
                <w:rFonts w:cs="Poppins"/>
                <w:i/>
                <w:iCs/>
              </w:rPr>
              <w:t xml:space="preserve">the </w:t>
            </w:r>
            <w:r>
              <w:rPr>
                <w:rFonts w:cs="Poppins"/>
                <w:i/>
                <w:iCs/>
              </w:rPr>
              <w:t xml:space="preserve">benefits to a User of being Designated, </w:t>
            </w:r>
            <w:proofErr w:type="gramStart"/>
            <w:r>
              <w:rPr>
                <w:rFonts w:cs="Poppins"/>
                <w:i/>
                <w:iCs/>
              </w:rPr>
              <w:t>and also</w:t>
            </w:r>
            <w:proofErr w:type="gramEnd"/>
            <w:r>
              <w:rPr>
                <w:rFonts w:cs="Poppins"/>
                <w:i/>
                <w:iCs/>
              </w:rPr>
              <w:t xml:space="preserve"> any costs or risks. </w:t>
            </w:r>
            <w:r w:rsidR="00092345">
              <w:rPr>
                <w:rFonts w:cs="Poppins"/>
                <w:i/>
                <w:iCs/>
              </w:rPr>
              <w:t xml:space="preserve"> </w:t>
            </w:r>
            <w:r w:rsidR="00AF6399">
              <w:rPr>
                <w:rFonts w:cs="Poppins"/>
                <w:i/>
                <w:iCs/>
              </w:rPr>
              <w:t>A</w:t>
            </w:r>
            <w:r w:rsidR="00092345">
              <w:rPr>
                <w:rFonts w:cs="Poppins"/>
                <w:i/>
                <w:iCs/>
              </w:rPr>
              <w:t xml:space="preserve"> clear explanation of the differ</w:t>
            </w:r>
            <w:r w:rsidR="00814911">
              <w:rPr>
                <w:rFonts w:cs="Poppins"/>
                <w:i/>
                <w:iCs/>
              </w:rPr>
              <w:t>e</w:t>
            </w:r>
            <w:r w:rsidR="00092345">
              <w:rPr>
                <w:rFonts w:cs="Poppins"/>
                <w:i/>
                <w:iCs/>
              </w:rPr>
              <w:t xml:space="preserve">nces between Designation and Reservation would also be helpful, noting that there is reference to the latter </w:t>
            </w:r>
            <w:r w:rsidR="002A6255">
              <w:rPr>
                <w:rFonts w:cs="Poppins"/>
                <w:i/>
                <w:iCs/>
              </w:rPr>
              <w:t xml:space="preserve">being used in preference to Designation for </w:t>
            </w:r>
            <w:r w:rsidR="00814911">
              <w:rPr>
                <w:rFonts w:cs="Poppins"/>
                <w:i/>
                <w:iCs/>
              </w:rPr>
              <w:t>Network Services Procurement (section 2.1</w:t>
            </w:r>
            <w:r w:rsidR="00BE5733">
              <w:rPr>
                <w:rFonts w:cs="Poppins"/>
                <w:i/>
                <w:iCs/>
              </w:rPr>
              <w:t>.2</w:t>
            </w:r>
            <w:r w:rsidR="00814911">
              <w:rPr>
                <w:rFonts w:cs="Poppins"/>
                <w:i/>
                <w:iCs/>
              </w:rPr>
              <w:t>)</w:t>
            </w:r>
            <w:r w:rsidR="00BE5733">
              <w:rPr>
                <w:rFonts w:cs="Poppins"/>
                <w:i/>
                <w:iCs/>
              </w:rPr>
              <w:t>.  It was unclear why section 2.1.</w:t>
            </w:r>
            <w:r w:rsidR="00EF3F9D">
              <w:rPr>
                <w:rFonts w:cs="Poppins"/>
                <w:i/>
                <w:iCs/>
              </w:rPr>
              <w:t xml:space="preserve">3 then states </w:t>
            </w:r>
            <w:r w:rsidR="002A6255">
              <w:rPr>
                <w:rFonts w:cs="Poppins"/>
                <w:i/>
                <w:iCs/>
              </w:rPr>
              <w:t xml:space="preserve">that Designation may be used for CATOs when </w:t>
            </w:r>
            <w:r w:rsidR="000E7D84">
              <w:rPr>
                <w:rFonts w:cs="Poppins"/>
                <w:i/>
                <w:iCs/>
              </w:rPr>
              <w:t>they “</w:t>
            </w:r>
            <w:r w:rsidR="00B40DE5" w:rsidRPr="00B40DE5">
              <w:rPr>
                <w:rFonts w:cs="Poppins"/>
                <w:i/>
                <w:iCs/>
              </w:rPr>
              <w:t>would likely go through the same process as Network Services Procurement</w:t>
            </w:r>
            <w:r w:rsidR="00673BB3">
              <w:rPr>
                <w:rFonts w:cs="Poppins"/>
                <w:i/>
                <w:iCs/>
              </w:rPr>
              <w:t>”.</w:t>
            </w:r>
          </w:p>
          <w:p w14:paraId="6DF31505" w14:textId="4262800C" w:rsidR="00D11C7E" w:rsidRDefault="00CC373A" w:rsidP="00B267E2">
            <w:pPr>
              <w:pStyle w:val="BodyText"/>
              <w:rPr>
                <w:rFonts w:cs="Poppins"/>
                <w:i/>
                <w:iCs/>
              </w:rPr>
            </w:pPr>
            <w:r>
              <w:rPr>
                <w:rFonts w:cs="Poppins"/>
                <w:i/>
                <w:iCs/>
              </w:rPr>
              <w:t>In section 3.3.4 there is reference to</w:t>
            </w:r>
            <w:r w:rsidR="00E2515A">
              <w:rPr>
                <w:rFonts w:cs="Poppins"/>
                <w:i/>
                <w:iCs/>
              </w:rPr>
              <w:t xml:space="preserve"> bays being res</w:t>
            </w:r>
            <w:r w:rsidR="00F81707">
              <w:rPr>
                <w:rFonts w:cs="Poppins"/>
                <w:i/>
                <w:iCs/>
              </w:rPr>
              <w:t>er</w:t>
            </w:r>
            <w:r w:rsidR="00E2515A">
              <w:rPr>
                <w:rFonts w:cs="Poppins"/>
                <w:i/>
                <w:iCs/>
              </w:rPr>
              <w:t xml:space="preserve">ved under </w:t>
            </w:r>
            <w:r w:rsidR="00CD0FF7">
              <w:rPr>
                <w:rFonts w:cs="Poppins"/>
                <w:i/>
                <w:iCs/>
              </w:rPr>
              <w:t>STCP 16.1, it is my view that the STCP does not give a right to reservation, this can only come about through explic</w:t>
            </w:r>
            <w:r w:rsidR="00F81707">
              <w:rPr>
                <w:rFonts w:cs="Poppins"/>
                <w:i/>
                <w:iCs/>
              </w:rPr>
              <w:t>i</w:t>
            </w:r>
            <w:r w:rsidR="00CD0FF7">
              <w:rPr>
                <w:rFonts w:cs="Poppins"/>
                <w:i/>
                <w:iCs/>
              </w:rPr>
              <w:t>t provisions in the STC</w:t>
            </w:r>
            <w:r w:rsidR="00F81707">
              <w:rPr>
                <w:rFonts w:cs="Poppins"/>
                <w:i/>
                <w:iCs/>
              </w:rPr>
              <w:t xml:space="preserve">, pursuant to </w:t>
            </w:r>
            <w:r w:rsidR="000F2AB9">
              <w:rPr>
                <w:rFonts w:cs="Poppins"/>
                <w:i/>
                <w:iCs/>
              </w:rPr>
              <w:t>CM095 or other code modifications</w:t>
            </w:r>
            <w:r w:rsidR="00F81707">
              <w:rPr>
                <w:rFonts w:cs="Poppins"/>
                <w:i/>
                <w:iCs/>
              </w:rPr>
              <w:t>.</w:t>
            </w:r>
          </w:p>
          <w:p w14:paraId="74B686EE" w14:textId="395A2242" w:rsidR="00CC373A" w:rsidRPr="00406CA9" w:rsidRDefault="00CC373A" w:rsidP="00B267E2">
            <w:pPr>
              <w:pStyle w:val="BodyText"/>
              <w:rPr>
                <w:rFonts w:cs="Poppins"/>
                <w:i/>
                <w:iCs/>
              </w:rPr>
            </w:pPr>
          </w:p>
        </w:tc>
      </w:tr>
    </w:tbl>
    <w:p w14:paraId="2601BBE6" w14:textId="77777777" w:rsidR="002704B9" w:rsidRPr="00696037" w:rsidRDefault="002704B9" w:rsidP="00696037">
      <w:pPr>
        <w:tabs>
          <w:tab w:val="left" w:pos="2120"/>
        </w:tabs>
        <w:rPr>
          <w:b/>
          <w:bCs/>
        </w:rPr>
      </w:pPr>
    </w:p>
    <w:sectPr w:rsidR="002704B9" w:rsidRPr="00696037" w:rsidSect="008E20D5">
      <w:headerReference w:type="default" r:id="rId15"/>
      <w:footerReference w:type="default" r:id="rId16"/>
      <w:headerReference w:type="first" r:id="rId17"/>
      <w:footerReference w:type="first" r:id="rId18"/>
      <w:pgSz w:w="11906" w:h="16838" w:code="9"/>
      <w:pgMar w:top="2495" w:right="1077" w:bottom="1361" w:left="107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0A1BB" w14:textId="77777777" w:rsidR="00150794" w:rsidRDefault="00150794" w:rsidP="00A62BFF">
      <w:pPr>
        <w:spacing w:after="0"/>
      </w:pPr>
      <w:r>
        <w:separator/>
      </w:r>
    </w:p>
  </w:endnote>
  <w:endnote w:type="continuationSeparator" w:id="0">
    <w:p w14:paraId="79B2A140" w14:textId="77777777" w:rsidR="00150794" w:rsidRDefault="00150794" w:rsidP="00A62BFF">
      <w:pPr>
        <w:spacing w:after="0"/>
      </w:pPr>
      <w:r>
        <w:continuationSeparator/>
      </w:r>
    </w:p>
  </w:endnote>
  <w:endnote w:type="continuationNotice" w:id="1">
    <w:p w14:paraId="59EE970E" w14:textId="77777777" w:rsidR="00150794" w:rsidRDefault="001507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7606881"/>
      <w:docPartObj>
        <w:docPartGallery w:val="Page Numbers (Bottom of Page)"/>
        <w:docPartUnique/>
      </w:docPartObj>
    </w:sdtPr>
    <w:sdtEndPr>
      <w:rPr>
        <w:sz w:val="26"/>
        <w:szCs w:val="26"/>
      </w:rPr>
    </w:sdtEndPr>
    <w:sdtContent>
      <w:p w14:paraId="6BC9C407" w14:textId="77777777" w:rsidR="00A151C2" w:rsidRDefault="008E20D5" w:rsidP="00A151C2">
        <w:pPr>
          <w:pStyle w:val="Footer"/>
          <w:jc w:val="right"/>
        </w:pPr>
        <w:r>
          <w:fldChar w:fldCharType="begin"/>
        </w:r>
        <w:r>
          <w:instrText>PAGE   \* MERGEFORMAT</w:instrText>
        </w:r>
        <w:r>
          <w:fldChar w:fldCharType="separate"/>
        </w:r>
        <w:r>
          <w:t>2</w:t>
        </w:r>
        <w:r>
          <w:fldChar w:fldCharType="end"/>
        </w:r>
      </w:p>
      <w:p w14:paraId="51C3A075" w14:textId="6DD301A9" w:rsidR="00B26D29" w:rsidRPr="00A151C2" w:rsidRDefault="00BF1961" w:rsidP="00A151C2">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F8EF"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0FB6F3AF" wp14:editId="78AF49ED">
              <wp:simplePos x="0" y="0"/>
              <wp:positionH relativeFrom="rightMargin">
                <wp:posOffset>88265</wp:posOffset>
              </wp:positionH>
              <wp:positionV relativeFrom="paragraph">
                <wp:posOffset>-278130</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7B402A1"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6F3AF" id="_x0000_t202" coordsize="21600,21600" o:spt="202" path="m,l,21600r21600,l21600,xe">
              <v:stroke joinstyle="miter"/>
              <v:path gradientshapeok="t" o:connecttype="rect"/>
            </v:shapetype>
            <v:shape id="Text Box 217" o:spid="_x0000_s1026" type="#_x0000_t202" style="position:absolute;margin-left:6.95pt;margin-top:-21.9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A33Heb2wAAAAcBAAAPAAAAZHJzL2Rv&#10;d25yZXYueG1sTI9NT8MwDIbvSPyHyEjctoStDFbqTgjEFbTxIXHLGq+taJyqydby7zEnOL72o9eP&#10;i83kO3WiIbaBEa7mBhRxFVzLNcLb69PsFlRMlp3tAhPCN0XYlOdnhc1dGHlLp12qlZRwzC1Ck1Kf&#10;ax2rhryN89ATy+4QBm+TxKHWbrCjlPtOL4xZaW9blguN7emhoeprd/QI78+Hz4/MvNSP/rofw2Q0&#10;+7VGvLyY7u9AJZrSHwy/+qIOpTjtw5FdVJ3k5VpIhFm2lBcEWGUy2CMsbkCXhf7vX/4AAAD//wMA&#10;UEsBAi0AFAAGAAgAAAAhALaDOJL+AAAA4QEAABMAAAAAAAAAAAAAAAAAAAAAAFtDb250ZW50X1R5&#10;cGVzXS54bWxQSwECLQAUAAYACAAAACEAOP0h/9YAAACUAQAACwAAAAAAAAAAAAAAAAAvAQAAX3Jl&#10;bHMvLnJlbHNQSwECLQAUAAYACAAAACEAJ2M+JfYBAADMAwAADgAAAAAAAAAAAAAAAAAuAgAAZHJz&#10;L2Uyb0RvYy54bWxQSwECLQAUAAYACAAAACEAN9x3m9sAAAAHAQAADwAAAAAAAAAAAAAAAABQBAAA&#10;ZHJzL2Rvd25yZXYueG1sUEsFBgAAAAAEAAQA8wAAAFgFAAAAAA==&#10;" filled="f" stroked="f">
              <v:textbox>
                <w:txbxContent>
                  <w:p w14:paraId="77B402A1"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0ECA6" w14:textId="77777777" w:rsidR="00150794" w:rsidRDefault="00150794" w:rsidP="00A62BFF">
      <w:pPr>
        <w:spacing w:after="0"/>
      </w:pPr>
      <w:r>
        <w:separator/>
      </w:r>
    </w:p>
  </w:footnote>
  <w:footnote w:type="continuationSeparator" w:id="0">
    <w:p w14:paraId="48C1BCDA" w14:textId="77777777" w:rsidR="00150794" w:rsidRDefault="00150794" w:rsidP="00A62BFF">
      <w:pPr>
        <w:spacing w:after="0"/>
      </w:pPr>
      <w:r>
        <w:continuationSeparator/>
      </w:r>
    </w:p>
  </w:footnote>
  <w:footnote w:type="continuationNotice" w:id="1">
    <w:p w14:paraId="2A82BDD2" w14:textId="77777777" w:rsidR="00150794" w:rsidRDefault="001507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6E87" w14:textId="77777777" w:rsidR="008E20D5"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1" layoutInCell="1" allowOverlap="0" wp14:anchorId="1D779630" wp14:editId="4ABBBD24">
          <wp:simplePos x="0" y="0"/>
          <wp:positionH relativeFrom="page">
            <wp:align>center</wp:align>
          </wp:positionH>
          <wp:positionV relativeFrom="page">
            <wp:align>top</wp:align>
          </wp:positionV>
          <wp:extent cx="7560000" cy="10684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1CC51FDD" w14:textId="77777777" w:rsidR="008E20D5" w:rsidRDefault="008E20D5" w:rsidP="00EB2BC1">
    <w:pPr>
      <w:pStyle w:val="Header"/>
      <w:ind w:left="0"/>
      <w:jc w:val="left"/>
      <w:rPr>
        <w:rFonts w:ascii="Helvetica" w:eastAsia="HGPMinchoE" w:hAnsi="Helvetica"/>
        <w:color w:val="3F0730"/>
        <w:sz w:val="28"/>
        <w:szCs w:val="40"/>
      </w:rPr>
    </w:pPr>
  </w:p>
  <w:p w14:paraId="51642D90" w14:textId="77777777" w:rsidR="008E20D5" w:rsidRDefault="008E20D5" w:rsidP="00EB2BC1">
    <w:pPr>
      <w:pStyle w:val="Header"/>
      <w:ind w:left="0"/>
      <w:jc w:val="left"/>
      <w:rPr>
        <w:rFonts w:ascii="Helvetica" w:eastAsia="HGPMinchoE" w:hAnsi="Helvetica"/>
        <w:color w:val="3F0730"/>
        <w:sz w:val="28"/>
        <w:szCs w:val="40"/>
      </w:rPr>
    </w:pPr>
  </w:p>
  <w:p w14:paraId="0B34C3B5" w14:textId="77777777" w:rsidR="008E20D5" w:rsidRDefault="008E20D5" w:rsidP="00EB2BC1">
    <w:pPr>
      <w:pStyle w:val="Header"/>
      <w:ind w:left="0"/>
      <w:jc w:val="left"/>
      <w:rPr>
        <w:rFonts w:ascii="Helvetica" w:eastAsia="HGPMinchoE" w:hAnsi="Helvetica"/>
        <w:color w:val="3F0730"/>
        <w:sz w:val="28"/>
        <w:szCs w:val="40"/>
      </w:rPr>
    </w:pPr>
  </w:p>
  <w:p w14:paraId="0244BACB" w14:textId="77777777" w:rsidR="008E20D5" w:rsidRDefault="008E20D5" w:rsidP="00EB2BC1">
    <w:pPr>
      <w:pStyle w:val="Header"/>
      <w:ind w:left="0"/>
      <w:jc w:val="left"/>
      <w:rPr>
        <w:rFonts w:ascii="Helvetica" w:eastAsia="HGPMinchoE" w:hAnsi="Helvetica"/>
        <w:color w:val="3F0730"/>
        <w:sz w:val="28"/>
        <w:szCs w:val="40"/>
      </w:rPr>
    </w:pPr>
  </w:p>
  <w:p w14:paraId="21BEAE87" w14:textId="1AB2F3DB" w:rsidR="008313D5" w:rsidRPr="008E20D5" w:rsidRDefault="0047617A" w:rsidP="0047617A">
    <w:pPr>
      <w:pStyle w:val="Header"/>
      <w:ind w:left="0"/>
      <w:jc w:val="left"/>
      <w:rPr>
        <w:rFonts w:ascii="Helvetica" w:eastAsia="HGPMinchoE" w:hAnsi="Helvetica"/>
        <w:color w:val="3F0730"/>
        <w:sz w:val="28"/>
        <w:szCs w:val="40"/>
      </w:rPr>
    </w:pPr>
    <w:r w:rsidRPr="0047617A">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516C" w14:textId="77777777" w:rsidR="00DF17EF" w:rsidRPr="007619FB" w:rsidRDefault="006E510D" w:rsidP="00DF17EF">
    <w:pPr>
      <w:pStyle w:val="Header"/>
      <w:ind w:left="0"/>
      <w:jc w:val="left"/>
      <w:rPr>
        <w:rFonts w:eastAsia="HGPMinchoE" w:cs="Poppins"/>
        <w:sz w:val="28"/>
        <w:szCs w:val="40"/>
      </w:rPr>
    </w:pPr>
    <w:r w:rsidRPr="007619FB">
      <w:rPr>
        <w:rFonts w:eastAsia="HGPMinchoE" w:cs="Poppins"/>
        <w:sz w:val="28"/>
        <w:szCs w:val="40"/>
      </w:rPr>
      <w:drawing>
        <wp:anchor distT="0" distB="0" distL="114300" distR="114300" simplePos="0" relativeHeight="251658240" behindDoc="1" locked="0" layoutInCell="1" allowOverlap="1" wp14:anchorId="3B8880D2" wp14:editId="7EC2BC18">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7C7F8954" w14:textId="77777777" w:rsidR="00DF17EF" w:rsidRPr="007619FB" w:rsidRDefault="00DF17EF" w:rsidP="00DF17EF">
    <w:pPr>
      <w:pStyle w:val="Header"/>
      <w:ind w:left="0"/>
      <w:jc w:val="left"/>
      <w:rPr>
        <w:rFonts w:eastAsia="HGPMinchoE" w:cs="Poppins"/>
        <w:sz w:val="28"/>
        <w:szCs w:val="40"/>
      </w:rPr>
    </w:pPr>
  </w:p>
  <w:p w14:paraId="43C44756" w14:textId="77777777" w:rsidR="00DF17EF" w:rsidRPr="007619FB" w:rsidRDefault="00DF17EF" w:rsidP="00DF17EF">
    <w:pPr>
      <w:pStyle w:val="Header"/>
      <w:ind w:left="0"/>
      <w:jc w:val="left"/>
      <w:rPr>
        <w:rFonts w:eastAsia="HGPMinchoE" w:cs="Poppins"/>
        <w:sz w:val="28"/>
        <w:szCs w:val="40"/>
      </w:rPr>
    </w:pPr>
  </w:p>
  <w:p w14:paraId="5BF196C4" w14:textId="77777777" w:rsidR="00B26D29" w:rsidRPr="007619FB" w:rsidRDefault="00E0784E" w:rsidP="00DF17EF">
    <w:pPr>
      <w:pStyle w:val="Header"/>
      <w:ind w:left="0"/>
      <w:jc w:val="left"/>
      <w:rPr>
        <w:rFonts w:eastAsia="HGPMinchoE" w:cs="Poppins"/>
        <w:color w:val="3F0730"/>
        <w:sz w:val="28"/>
        <w:szCs w:val="40"/>
      </w:rPr>
    </w:pPr>
    <w:r w:rsidRPr="007619F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39AE5596"/>
    <w:lvl w:ilvl="0">
      <w:start w:val="1"/>
      <w:numFmt w:val="decimal"/>
      <w:lvlText w:val="%1."/>
      <w:lvlJc w:val="left"/>
      <w:pPr>
        <w:ind w:left="360" w:hanging="360"/>
      </w:pPr>
      <w:rPr>
        <w:rFonts w:hint="default"/>
        <w:color w:val="FF00FF"/>
      </w:rPr>
    </w:lvl>
  </w:abstractNum>
  <w:abstractNum w:abstractNumId="11" w15:restartNumberingAfterBreak="0">
    <w:nsid w:val="01E42775"/>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917BAC"/>
    <w:multiLevelType w:val="hybridMultilevel"/>
    <w:tmpl w:val="449C8712"/>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9525139"/>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9995D75"/>
    <w:multiLevelType w:val="hybridMultilevel"/>
    <w:tmpl w:val="E4ECD1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D32562C"/>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DDF5662"/>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FDB6DC0"/>
    <w:multiLevelType w:val="hybridMultilevel"/>
    <w:tmpl w:val="495E10F6"/>
    <w:lvl w:ilvl="0" w:tplc="E97488E8">
      <w:start w:val="9"/>
      <w:numFmt w:val="decimal"/>
      <w:lvlText w:val="%1."/>
      <w:lvlJc w:val="left"/>
      <w:pPr>
        <w:tabs>
          <w:tab w:val="num" w:pos="720"/>
        </w:tabs>
        <w:ind w:left="720" w:hanging="360"/>
      </w:pPr>
    </w:lvl>
    <w:lvl w:ilvl="1" w:tplc="CF907B68" w:tentative="1">
      <w:start w:val="1"/>
      <w:numFmt w:val="decimal"/>
      <w:lvlText w:val="%2."/>
      <w:lvlJc w:val="left"/>
      <w:pPr>
        <w:tabs>
          <w:tab w:val="num" w:pos="1440"/>
        </w:tabs>
        <w:ind w:left="1440" w:hanging="360"/>
      </w:pPr>
    </w:lvl>
    <w:lvl w:ilvl="2" w:tplc="DA50C256" w:tentative="1">
      <w:start w:val="1"/>
      <w:numFmt w:val="decimal"/>
      <w:lvlText w:val="%3."/>
      <w:lvlJc w:val="left"/>
      <w:pPr>
        <w:tabs>
          <w:tab w:val="num" w:pos="2160"/>
        </w:tabs>
        <w:ind w:left="2160" w:hanging="360"/>
      </w:pPr>
    </w:lvl>
    <w:lvl w:ilvl="3" w:tplc="0532A854" w:tentative="1">
      <w:start w:val="1"/>
      <w:numFmt w:val="decimal"/>
      <w:lvlText w:val="%4."/>
      <w:lvlJc w:val="left"/>
      <w:pPr>
        <w:tabs>
          <w:tab w:val="num" w:pos="2880"/>
        </w:tabs>
        <w:ind w:left="2880" w:hanging="360"/>
      </w:pPr>
    </w:lvl>
    <w:lvl w:ilvl="4" w:tplc="3F94988A" w:tentative="1">
      <w:start w:val="1"/>
      <w:numFmt w:val="decimal"/>
      <w:lvlText w:val="%5."/>
      <w:lvlJc w:val="left"/>
      <w:pPr>
        <w:tabs>
          <w:tab w:val="num" w:pos="3600"/>
        </w:tabs>
        <w:ind w:left="3600" w:hanging="360"/>
      </w:pPr>
    </w:lvl>
    <w:lvl w:ilvl="5" w:tplc="9058FEA0" w:tentative="1">
      <w:start w:val="1"/>
      <w:numFmt w:val="decimal"/>
      <w:lvlText w:val="%6."/>
      <w:lvlJc w:val="left"/>
      <w:pPr>
        <w:tabs>
          <w:tab w:val="num" w:pos="4320"/>
        </w:tabs>
        <w:ind w:left="4320" w:hanging="360"/>
      </w:pPr>
    </w:lvl>
    <w:lvl w:ilvl="6" w:tplc="DECE165E" w:tentative="1">
      <w:start w:val="1"/>
      <w:numFmt w:val="decimal"/>
      <w:lvlText w:val="%7."/>
      <w:lvlJc w:val="left"/>
      <w:pPr>
        <w:tabs>
          <w:tab w:val="num" w:pos="5040"/>
        </w:tabs>
        <w:ind w:left="5040" w:hanging="360"/>
      </w:pPr>
    </w:lvl>
    <w:lvl w:ilvl="7" w:tplc="5E06831C" w:tentative="1">
      <w:start w:val="1"/>
      <w:numFmt w:val="decimal"/>
      <w:lvlText w:val="%8."/>
      <w:lvlJc w:val="left"/>
      <w:pPr>
        <w:tabs>
          <w:tab w:val="num" w:pos="5760"/>
        </w:tabs>
        <w:ind w:left="5760" w:hanging="360"/>
      </w:pPr>
    </w:lvl>
    <w:lvl w:ilvl="8" w:tplc="584A65AE" w:tentative="1">
      <w:start w:val="1"/>
      <w:numFmt w:val="decimal"/>
      <w:lvlText w:val="%9."/>
      <w:lvlJc w:val="left"/>
      <w:pPr>
        <w:tabs>
          <w:tab w:val="num" w:pos="6480"/>
        </w:tabs>
        <w:ind w:left="6480" w:hanging="360"/>
      </w:pPr>
    </w:lvl>
  </w:abstractNum>
  <w:abstractNum w:abstractNumId="19" w15:restartNumberingAfterBreak="0">
    <w:nsid w:val="12480952"/>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851B86"/>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5B0FDF"/>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9674420"/>
    <w:multiLevelType w:val="multilevel"/>
    <w:tmpl w:val="C9B26D0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21114AC8"/>
    <w:multiLevelType w:val="hybridMultilevel"/>
    <w:tmpl w:val="67906D9E"/>
    <w:lvl w:ilvl="0" w:tplc="EF9CFA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230F3BE9"/>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31E710D"/>
    <w:multiLevelType w:val="hybridMultilevel"/>
    <w:tmpl w:val="E4ECD1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6F01059"/>
    <w:multiLevelType w:val="hybridMultilevel"/>
    <w:tmpl w:val="CE681904"/>
    <w:lvl w:ilvl="0" w:tplc="08B4587A">
      <w:start w:val="9"/>
      <w:numFmt w:val="decimal"/>
      <w:lvlText w:val="%1."/>
      <w:lvlJc w:val="left"/>
      <w:pPr>
        <w:tabs>
          <w:tab w:val="num" w:pos="720"/>
        </w:tabs>
        <w:ind w:left="720" w:hanging="360"/>
      </w:pPr>
    </w:lvl>
    <w:lvl w:ilvl="1" w:tplc="90F0B202" w:tentative="1">
      <w:start w:val="1"/>
      <w:numFmt w:val="decimal"/>
      <w:lvlText w:val="%2."/>
      <w:lvlJc w:val="left"/>
      <w:pPr>
        <w:tabs>
          <w:tab w:val="num" w:pos="1440"/>
        </w:tabs>
        <w:ind w:left="1440" w:hanging="360"/>
      </w:pPr>
    </w:lvl>
    <w:lvl w:ilvl="2" w:tplc="A1B8A34C" w:tentative="1">
      <w:start w:val="1"/>
      <w:numFmt w:val="decimal"/>
      <w:lvlText w:val="%3."/>
      <w:lvlJc w:val="left"/>
      <w:pPr>
        <w:tabs>
          <w:tab w:val="num" w:pos="2160"/>
        </w:tabs>
        <w:ind w:left="2160" w:hanging="360"/>
      </w:pPr>
    </w:lvl>
    <w:lvl w:ilvl="3" w:tplc="20F25E48" w:tentative="1">
      <w:start w:val="1"/>
      <w:numFmt w:val="decimal"/>
      <w:lvlText w:val="%4."/>
      <w:lvlJc w:val="left"/>
      <w:pPr>
        <w:tabs>
          <w:tab w:val="num" w:pos="2880"/>
        </w:tabs>
        <w:ind w:left="2880" w:hanging="360"/>
      </w:pPr>
    </w:lvl>
    <w:lvl w:ilvl="4" w:tplc="5E464188" w:tentative="1">
      <w:start w:val="1"/>
      <w:numFmt w:val="decimal"/>
      <w:lvlText w:val="%5."/>
      <w:lvlJc w:val="left"/>
      <w:pPr>
        <w:tabs>
          <w:tab w:val="num" w:pos="3600"/>
        </w:tabs>
        <w:ind w:left="3600" w:hanging="360"/>
      </w:pPr>
    </w:lvl>
    <w:lvl w:ilvl="5" w:tplc="4898823E" w:tentative="1">
      <w:start w:val="1"/>
      <w:numFmt w:val="decimal"/>
      <w:lvlText w:val="%6."/>
      <w:lvlJc w:val="left"/>
      <w:pPr>
        <w:tabs>
          <w:tab w:val="num" w:pos="4320"/>
        </w:tabs>
        <w:ind w:left="4320" w:hanging="360"/>
      </w:pPr>
    </w:lvl>
    <w:lvl w:ilvl="6" w:tplc="100C1B90" w:tentative="1">
      <w:start w:val="1"/>
      <w:numFmt w:val="decimal"/>
      <w:lvlText w:val="%7."/>
      <w:lvlJc w:val="left"/>
      <w:pPr>
        <w:tabs>
          <w:tab w:val="num" w:pos="5040"/>
        </w:tabs>
        <w:ind w:left="5040" w:hanging="360"/>
      </w:pPr>
    </w:lvl>
    <w:lvl w:ilvl="7" w:tplc="D7986ADA" w:tentative="1">
      <w:start w:val="1"/>
      <w:numFmt w:val="decimal"/>
      <w:lvlText w:val="%8."/>
      <w:lvlJc w:val="left"/>
      <w:pPr>
        <w:tabs>
          <w:tab w:val="num" w:pos="5760"/>
        </w:tabs>
        <w:ind w:left="5760" w:hanging="360"/>
      </w:pPr>
    </w:lvl>
    <w:lvl w:ilvl="8" w:tplc="BE2ACCBE" w:tentative="1">
      <w:start w:val="1"/>
      <w:numFmt w:val="decimal"/>
      <w:lvlText w:val="%9."/>
      <w:lvlJc w:val="left"/>
      <w:pPr>
        <w:tabs>
          <w:tab w:val="num" w:pos="6480"/>
        </w:tabs>
        <w:ind w:left="6480" w:hanging="360"/>
      </w:pPr>
    </w:lvl>
  </w:abstractNum>
  <w:abstractNum w:abstractNumId="27" w15:restartNumberingAfterBreak="0">
    <w:nsid w:val="29CA728F"/>
    <w:multiLevelType w:val="hybridMultilevel"/>
    <w:tmpl w:val="738C5660"/>
    <w:lvl w:ilvl="0" w:tplc="261AF750">
      <w:start w:val="1"/>
      <w:numFmt w:val="bullet"/>
      <w:lvlText w:val="•"/>
      <w:lvlJc w:val="left"/>
      <w:pPr>
        <w:tabs>
          <w:tab w:val="num" w:pos="720"/>
        </w:tabs>
        <w:ind w:left="720" w:hanging="360"/>
      </w:pPr>
      <w:rPr>
        <w:rFonts w:ascii="Arial" w:hAnsi="Arial" w:hint="default"/>
      </w:rPr>
    </w:lvl>
    <w:lvl w:ilvl="1" w:tplc="3E883872">
      <w:start w:val="1"/>
      <w:numFmt w:val="bullet"/>
      <w:lvlText w:val="•"/>
      <w:lvlJc w:val="left"/>
      <w:pPr>
        <w:tabs>
          <w:tab w:val="num" w:pos="1440"/>
        </w:tabs>
        <w:ind w:left="1440" w:hanging="360"/>
      </w:pPr>
      <w:rPr>
        <w:rFonts w:ascii="Arial" w:hAnsi="Arial" w:hint="default"/>
      </w:rPr>
    </w:lvl>
    <w:lvl w:ilvl="2" w:tplc="F5729C22" w:tentative="1">
      <w:start w:val="1"/>
      <w:numFmt w:val="bullet"/>
      <w:lvlText w:val="•"/>
      <w:lvlJc w:val="left"/>
      <w:pPr>
        <w:tabs>
          <w:tab w:val="num" w:pos="2160"/>
        </w:tabs>
        <w:ind w:left="2160" w:hanging="360"/>
      </w:pPr>
      <w:rPr>
        <w:rFonts w:ascii="Arial" w:hAnsi="Arial" w:hint="default"/>
      </w:rPr>
    </w:lvl>
    <w:lvl w:ilvl="3" w:tplc="68749B56" w:tentative="1">
      <w:start w:val="1"/>
      <w:numFmt w:val="bullet"/>
      <w:lvlText w:val="•"/>
      <w:lvlJc w:val="left"/>
      <w:pPr>
        <w:tabs>
          <w:tab w:val="num" w:pos="2880"/>
        </w:tabs>
        <w:ind w:left="2880" w:hanging="360"/>
      </w:pPr>
      <w:rPr>
        <w:rFonts w:ascii="Arial" w:hAnsi="Arial" w:hint="default"/>
      </w:rPr>
    </w:lvl>
    <w:lvl w:ilvl="4" w:tplc="B68C8C54" w:tentative="1">
      <w:start w:val="1"/>
      <w:numFmt w:val="bullet"/>
      <w:lvlText w:val="•"/>
      <w:lvlJc w:val="left"/>
      <w:pPr>
        <w:tabs>
          <w:tab w:val="num" w:pos="3600"/>
        </w:tabs>
        <w:ind w:left="3600" w:hanging="360"/>
      </w:pPr>
      <w:rPr>
        <w:rFonts w:ascii="Arial" w:hAnsi="Arial" w:hint="default"/>
      </w:rPr>
    </w:lvl>
    <w:lvl w:ilvl="5" w:tplc="1D2A2ACC" w:tentative="1">
      <w:start w:val="1"/>
      <w:numFmt w:val="bullet"/>
      <w:lvlText w:val="•"/>
      <w:lvlJc w:val="left"/>
      <w:pPr>
        <w:tabs>
          <w:tab w:val="num" w:pos="4320"/>
        </w:tabs>
        <w:ind w:left="4320" w:hanging="360"/>
      </w:pPr>
      <w:rPr>
        <w:rFonts w:ascii="Arial" w:hAnsi="Arial" w:hint="default"/>
      </w:rPr>
    </w:lvl>
    <w:lvl w:ilvl="6" w:tplc="42983B5C" w:tentative="1">
      <w:start w:val="1"/>
      <w:numFmt w:val="bullet"/>
      <w:lvlText w:val="•"/>
      <w:lvlJc w:val="left"/>
      <w:pPr>
        <w:tabs>
          <w:tab w:val="num" w:pos="5040"/>
        </w:tabs>
        <w:ind w:left="5040" w:hanging="360"/>
      </w:pPr>
      <w:rPr>
        <w:rFonts w:ascii="Arial" w:hAnsi="Arial" w:hint="default"/>
      </w:rPr>
    </w:lvl>
    <w:lvl w:ilvl="7" w:tplc="9A8EE6E8" w:tentative="1">
      <w:start w:val="1"/>
      <w:numFmt w:val="bullet"/>
      <w:lvlText w:val="•"/>
      <w:lvlJc w:val="left"/>
      <w:pPr>
        <w:tabs>
          <w:tab w:val="num" w:pos="5760"/>
        </w:tabs>
        <w:ind w:left="5760" w:hanging="360"/>
      </w:pPr>
      <w:rPr>
        <w:rFonts w:ascii="Arial" w:hAnsi="Arial" w:hint="default"/>
      </w:rPr>
    </w:lvl>
    <w:lvl w:ilvl="8" w:tplc="D2E4277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2A360ACD"/>
    <w:multiLevelType w:val="multilevel"/>
    <w:tmpl w:val="FD5C6196"/>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9" w15:restartNumberingAfterBreak="0">
    <w:nsid w:val="2D41437C"/>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E467388"/>
    <w:multiLevelType w:val="hybridMultilevel"/>
    <w:tmpl w:val="DB9EF072"/>
    <w:lvl w:ilvl="0" w:tplc="D4CE7F46">
      <w:start w:val="9"/>
      <w:numFmt w:val="decimal"/>
      <w:lvlText w:val="%1."/>
      <w:lvlJc w:val="left"/>
      <w:pPr>
        <w:tabs>
          <w:tab w:val="num" w:pos="720"/>
        </w:tabs>
        <w:ind w:left="720" w:hanging="360"/>
      </w:pPr>
    </w:lvl>
    <w:lvl w:ilvl="1" w:tplc="1C62499E" w:tentative="1">
      <w:start w:val="1"/>
      <w:numFmt w:val="decimal"/>
      <w:lvlText w:val="%2."/>
      <w:lvlJc w:val="left"/>
      <w:pPr>
        <w:tabs>
          <w:tab w:val="num" w:pos="1440"/>
        </w:tabs>
        <w:ind w:left="1440" w:hanging="360"/>
      </w:pPr>
    </w:lvl>
    <w:lvl w:ilvl="2" w:tplc="83CCC2F4" w:tentative="1">
      <w:start w:val="1"/>
      <w:numFmt w:val="decimal"/>
      <w:lvlText w:val="%3."/>
      <w:lvlJc w:val="left"/>
      <w:pPr>
        <w:tabs>
          <w:tab w:val="num" w:pos="2160"/>
        </w:tabs>
        <w:ind w:left="2160" w:hanging="360"/>
      </w:pPr>
    </w:lvl>
    <w:lvl w:ilvl="3" w:tplc="BCBE4B00" w:tentative="1">
      <w:start w:val="1"/>
      <w:numFmt w:val="decimal"/>
      <w:lvlText w:val="%4."/>
      <w:lvlJc w:val="left"/>
      <w:pPr>
        <w:tabs>
          <w:tab w:val="num" w:pos="2880"/>
        </w:tabs>
        <w:ind w:left="2880" w:hanging="360"/>
      </w:pPr>
    </w:lvl>
    <w:lvl w:ilvl="4" w:tplc="971C91A6" w:tentative="1">
      <w:start w:val="1"/>
      <w:numFmt w:val="decimal"/>
      <w:lvlText w:val="%5."/>
      <w:lvlJc w:val="left"/>
      <w:pPr>
        <w:tabs>
          <w:tab w:val="num" w:pos="3600"/>
        </w:tabs>
        <w:ind w:left="3600" w:hanging="360"/>
      </w:pPr>
    </w:lvl>
    <w:lvl w:ilvl="5" w:tplc="0D9A16E6" w:tentative="1">
      <w:start w:val="1"/>
      <w:numFmt w:val="decimal"/>
      <w:lvlText w:val="%6."/>
      <w:lvlJc w:val="left"/>
      <w:pPr>
        <w:tabs>
          <w:tab w:val="num" w:pos="4320"/>
        </w:tabs>
        <w:ind w:left="4320" w:hanging="360"/>
      </w:pPr>
    </w:lvl>
    <w:lvl w:ilvl="6" w:tplc="D310A0AC" w:tentative="1">
      <w:start w:val="1"/>
      <w:numFmt w:val="decimal"/>
      <w:lvlText w:val="%7."/>
      <w:lvlJc w:val="left"/>
      <w:pPr>
        <w:tabs>
          <w:tab w:val="num" w:pos="5040"/>
        </w:tabs>
        <w:ind w:left="5040" w:hanging="360"/>
      </w:pPr>
    </w:lvl>
    <w:lvl w:ilvl="7" w:tplc="8C74E1AC" w:tentative="1">
      <w:start w:val="1"/>
      <w:numFmt w:val="decimal"/>
      <w:lvlText w:val="%8."/>
      <w:lvlJc w:val="left"/>
      <w:pPr>
        <w:tabs>
          <w:tab w:val="num" w:pos="5760"/>
        </w:tabs>
        <w:ind w:left="5760" w:hanging="360"/>
      </w:pPr>
    </w:lvl>
    <w:lvl w:ilvl="8" w:tplc="196C88F4" w:tentative="1">
      <w:start w:val="1"/>
      <w:numFmt w:val="decimal"/>
      <w:lvlText w:val="%9."/>
      <w:lvlJc w:val="left"/>
      <w:pPr>
        <w:tabs>
          <w:tab w:val="num" w:pos="6480"/>
        </w:tabs>
        <w:ind w:left="6480" w:hanging="360"/>
      </w:pPr>
    </w:lvl>
  </w:abstractNum>
  <w:abstractNum w:abstractNumId="31" w15:restartNumberingAfterBreak="0">
    <w:nsid w:val="35AE1373"/>
    <w:multiLevelType w:val="hybridMultilevel"/>
    <w:tmpl w:val="808E64EC"/>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3DC16B4"/>
    <w:multiLevelType w:val="hybridMultilevel"/>
    <w:tmpl w:val="E4ECD1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9603038"/>
    <w:multiLevelType w:val="hybridMultilevel"/>
    <w:tmpl w:val="E4ECD1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CCA297C"/>
    <w:multiLevelType w:val="hybridMultilevel"/>
    <w:tmpl w:val="E03C0DB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35" w15:restartNumberingAfterBreak="0">
    <w:nsid w:val="5464506F"/>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3D3C07"/>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5539FF"/>
    <w:multiLevelType w:val="hybridMultilevel"/>
    <w:tmpl w:val="E4ECD1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AAD685F"/>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B3728A0"/>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CD3533C"/>
    <w:multiLevelType w:val="hybridMultilevel"/>
    <w:tmpl w:val="E4ECD1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06D0ED6"/>
    <w:multiLevelType w:val="hybridMultilevel"/>
    <w:tmpl w:val="C51C5FF2"/>
    <w:lvl w:ilvl="0" w:tplc="3F02A6DE">
      <w:start w:val="9"/>
      <w:numFmt w:val="decimal"/>
      <w:lvlText w:val="%1."/>
      <w:lvlJc w:val="left"/>
      <w:pPr>
        <w:tabs>
          <w:tab w:val="num" w:pos="720"/>
        </w:tabs>
        <w:ind w:left="720" w:hanging="360"/>
      </w:pPr>
    </w:lvl>
    <w:lvl w:ilvl="1" w:tplc="18B65324" w:tentative="1">
      <w:start w:val="1"/>
      <w:numFmt w:val="decimal"/>
      <w:lvlText w:val="%2."/>
      <w:lvlJc w:val="left"/>
      <w:pPr>
        <w:tabs>
          <w:tab w:val="num" w:pos="1440"/>
        </w:tabs>
        <w:ind w:left="1440" w:hanging="360"/>
      </w:pPr>
    </w:lvl>
    <w:lvl w:ilvl="2" w:tplc="E702E456" w:tentative="1">
      <w:start w:val="1"/>
      <w:numFmt w:val="decimal"/>
      <w:lvlText w:val="%3."/>
      <w:lvlJc w:val="left"/>
      <w:pPr>
        <w:tabs>
          <w:tab w:val="num" w:pos="2160"/>
        </w:tabs>
        <w:ind w:left="2160" w:hanging="360"/>
      </w:pPr>
    </w:lvl>
    <w:lvl w:ilvl="3" w:tplc="5EE25BA8" w:tentative="1">
      <w:start w:val="1"/>
      <w:numFmt w:val="decimal"/>
      <w:lvlText w:val="%4."/>
      <w:lvlJc w:val="left"/>
      <w:pPr>
        <w:tabs>
          <w:tab w:val="num" w:pos="2880"/>
        </w:tabs>
        <w:ind w:left="2880" w:hanging="360"/>
      </w:pPr>
    </w:lvl>
    <w:lvl w:ilvl="4" w:tplc="963C056C" w:tentative="1">
      <w:start w:val="1"/>
      <w:numFmt w:val="decimal"/>
      <w:lvlText w:val="%5."/>
      <w:lvlJc w:val="left"/>
      <w:pPr>
        <w:tabs>
          <w:tab w:val="num" w:pos="3600"/>
        </w:tabs>
        <w:ind w:left="3600" w:hanging="360"/>
      </w:pPr>
    </w:lvl>
    <w:lvl w:ilvl="5" w:tplc="5F582850" w:tentative="1">
      <w:start w:val="1"/>
      <w:numFmt w:val="decimal"/>
      <w:lvlText w:val="%6."/>
      <w:lvlJc w:val="left"/>
      <w:pPr>
        <w:tabs>
          <w:tab w:val="num" w:pos="4320"/>
        </w:tabs>
        <w:ind w:left="4320" w:hanging="360"/>
      </w:pPr>
    </w:lvl>
    <w:lvl w:ilvl="6" w:tplc="F9BC6652" w:tentative="1">
      <w:start w:val="1"/>
      <w:numFmt w:val="decimal"/>
      <w:lvlText w:val="%7."/>
      <w:lvlJc w:val="left"/>
      <w:pPr>
        <w:tabs>
          <w:tab w:val="num" w:pos="5040"/>
        </w:tabs>
        <w:ind w:left="5040" w:hanging="360"/>
      </w:pPr>
    </w:lvl>
    <w:lvl w:ilvl="7" w:tplc="BFD86B16" w:tentative="1">
      <w:start w:val="1"/>
      <w:numFmt w:val="decimal"/>
      <w:lvlText w:val="%8."/>
      <w:lvlJc w:val="left"/>
      <w:pPr>
        <w:tabs>
          <w:tab w:val="num" w:pos="5760"/>
        </w:tabs>
        <w:ind w:left="5760" w:hanging="360"/>
      </w:pPr>
    </w:lvl>
    <w:lvl w:ilvl="8" w:tplc="8776544E" w:tentative="1">
      <w:start w:val="1"/>
      <w:numFmt w:val="decimal"/>
      <w:lvlText w:val="%9."/>
      <w:lvlJc w:val="left"/>
      <w:pPr>
        <w:tabs>
          <w:tab w:val="num" w:pos="6480"/>
        </w:tabs>
        <w:ind w:left="6480" w:hanging="360"/>
      </w:pPr>
    </w:lvl>
  </w:abstractNum>
  <w:abstractNum w:abstractNumId="42" w15:restartNumberingAfterBreak="0">
    <w:nsid w:val="628965AE"/>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70F6FA7"/>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5" w15:restartNumberingAfterBreak="0">
    <w:nsid w:val="6C06604C"/>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C19419A"/>
    <w:multiLevelType w:val="hybridMultilevel"/>
    <w:tmpl w:val="B4C0A286"/>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7" w15:restartNumberingAfterBreak="0">
    <w:nsid w:val="715775BE"/>
    <w:multiLevelType w:val="hybridMultilevel"/>
    <w:tmpl w:val="E4ECD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16A5210"/>
    <w:multiLevelType w:val="hybridMultilevel"/>
    <w:tmpl w:val="E4ECD1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78E4D1C"/>
    <w:multiLevelType w:val="multilevel"/>
    <w:tmpl w:val="A48E799E"/>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44"/>
  </w:num>
  <w:num w:numId="12" w16cid:durableId="351030145">
    <w:abstractNumId w:val="13"/>
  </w:num>
  <w:num w:numId="13" w16cid:durableId="1110398056">
    <w:abstractNumId w:val="10"/>
    <w:lvlOverride w:ilvl="0">
      <w:startOverride w:val="1"/>
    </w:lvlOverride>
  </w:num>
  <w:num w:numId="14" w16cid:durableId="773330063">
    <w:abstractNumId w:val="22"/>
  </w:num>
  <w:num w:numId="15" w16cid:durableId="524292369">
    <w:abstractNumId w:val="28"/>
  </w:num>
  <w:num w:numId="16" w16cid:durableId="262226089">
    <w:abstractNumId w:val="46"/>
  </w:num>
  <w:num w:numId="17" w16cid:durableId="836068324">
    <w:abstractNumId w:val="34"/>
  </w:num>
  <w:num w:numId="18" w16cid:durableId="992180457">
    <w:abstractNumId w:val="4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9" w16cid:durableId="490758495">
    <w:abstractNumId w:val="31"/>
  </w:num>
  <w:num w:numId="20" w16cid:durableId="152526884">
    <w:abstractNumId w:val="12"/>
  </w:num>
  <w:num w:numId="21" w16cid:durableId="1632131741">
    <w:abstractNumId w:val="40"/>
  </w:num>
  <w:num w:numId="22" w16cid:durableId="2134253091">
    <w:abstractNumId w:val="42"/>
  </w:num>
  <w:num w:numId="23" w16cid:durableId="1026180011">
    <w:abstractNumId w:val="39"/>
  </w:num>
  <w:num w:numId="24" w16cid:durableId="1052190277">
    <w:abstractNumId w:val="19"/>
  </w:num>
  <w:num w:numId="25" w16cid:durableId="1346051343">
    <w:abstractNumId w:val="47"/>
  </w:num>
  <w:num w:numId="26" w16cid:durableId="760373664">
    <w:abstractNumId w:val="14"/>
  </w:num>
  <w:num w:numId="27" w16cid:durableId="846941554">
    <w:abstractNumId w:val="29"/>
  </w:num>
  <w:num w:numId="28" w16cid:durableId="175387441">
    <w:abstractNumId w:val="35"/>
  </w:num>
  <w:num w:numId="29" w16cid:durableId="606623761">
    <w:abstractNumId w:val="36"/>
  </w:num>
  <w:num w:numId="30" w16cid:durableId="220215327">
    <w:abstractNumId w:val="45"/>
  </w:num>
  <w:num w:numId="31" w16cid:durableId="1629820103">
    <w:abstractNumId w:val="11"/>
  </w:num>
  <w:num w:numId="32" w16cid:durableId="760105876">
    <w:abstractNumId w:val="17"/>
  </w:num>
  <w:num w:numId="33" w16cid:durableId="1132988619">
    <w:abstractNumId w:val="18"/>
  </w:num>
  <w:num w:numId="34" w16cid:durableId="552426802">
    <w:abstractNumId w:val="43"/>
  </w:num>
  <w:num w:numId="35" w16cid:durableId="1846699230">
    <w:abstractNumId w:val="26"/>
  </w:num>
  <w:num w:numId="36" w16cid:durableId="1368601538">
    <w:abstractNumId w:val="38"/>
  </w:num>
  <w:num w:numId="37" w16cid:durableId="1015769885">
    <w:abstractNumId w:val="30"/>
  </w:num>
  <w:num w:numId="38" w16cid:durableId="151026546">
    <w:abstractNumId w:val="21"/>
  </w:num>
  <w:num w:numId="39" w16cid:durableId="2005237593">
    <w:abstractNumId w:val="41"/>
  </w:num>
  <w:num w:numId="40" w16cid:durableId="185682849">
    <w:abstractNumId w:val="24"/>
  </w:num>
  <w:num w:numId="41" w16cid:durableId="213394497">
    <w:abstractNumId w:val="20"/>
  </w:num>
  <w:num w:numId="42" w16cid:durableId="601961880">
    <w:abstractNumId w:val="16"/>
  </w:num>
  <w:num w:numId="43" w16cid:durableId="636953538">
    <w:abstractNumId w:val="23"/>
  </w:num>
  <w:num w:numId="44" w16cid:durableId="1954746011">
    <w:abstractNumId w:val="27"/>
  </w:num>
  <w:num w:numId="45" w16cid:durableId="528688956">
    <w:abstractNumId w:val="33"/>
  </w:num>
  <w:num w:numId="46" w16cid:durableId="655181946">
    <w:abstractNumId w:val="37"/>
  </w:num>
  <w:num w:numId="47" w16cid:durableId="434447350">
    <w:abstractNumId w:val="32"/>
  </w:num>
  <w:num w:numId="48" w16cid:durableId="270282915">
    <w:abstractNumId w:val="15"/>
  </w:num>
  <w:num w:numId="49" w16cid:durableId="1123572221">
    <w:abstractNumId w:val="25"/>
  </w:num>
  <w:num w:numId="50" w16cid:durableId="1717701063">
    <w:abstractNumId w:val="4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1C2"/>
    <w:rsid w:val="0000092C"/>
    <w:rsid w:val="000017C7"/>
    <w:rsid w:val="00006A7B"/>
    <w:rsid w:val="00007028"/>
    <w:rsid w:val="00010444"/>
    <w:rsid w:val="00011992"/>
    <w:rsid w:val="00013752"/>
    <w:rsid w:val="00015A2A"/>
    <w:rsid w:val="00015AA0"/>
    <w:rsid w:val="00021319"/>
    <w:rsid w:val="000213BA"/>
    <w:rsid w:val="000217B7"/>
    <w:rsid w:val="000218CE"/>
    <w:rsid w:val="00022819"/>
    <w:rsid w:val="00022B39"/>
    <w:rsid w:val="0002463D"/>
    <w:rsid w:val="000246B0"/>
    <w:rsid w:val="00027845"/>
    <w:rsid w:val="00030017"/>
    <w:rsid w:val="00030548"/>
    <w:rsid w:val="00031067"/>
    <w:rsid w:val="00031305"/>
    <w:rsid w:val="0003395B"/>
    <w:rsid w:val="00034DE8"/>
    <w:rsid w:val="00036E0D"/>
    <w:rsid w:val="00036ECA"/>
    <w:rsid w:val="00037D0E"/>
    <w:rsid w:val="00040C73"/>
    <w:rsid w:val="00041BFC"/>
    <w:rsid w:val="000421C8"/>
    <w:rsid w:val="00042343"/>
    <w:rsid w:val="0004277D"/>
    <w:rsid w:val="00044215"/>
    <w:rsid w:val="00044829"/>
    <w:rsid w:val="00044DA4"/>
    <w:rsid w:val="00045569"/>
    <w:rsid w:val="0004599D"/>
    <w:rsid w:val="000501BC"/>
    <w:rsid w:val="00050A93"/>
    <w:rsid w:val="00052727"/>
    <w:rsid w:val="00053545"/>
    <w:rsid w:val="000543D5"/>
    <w:rsid w:val="00054779"/>
    <w:rsid w:val="00055072"/>
    <w:rsid w:val="000556E6"/>
    <w:rsid w:val="00060017"/>
    <w:rsid w:val="00061FBD"/>
    <w:rsid w:val="00062681"/>
    <w:rsid w:val="00062B8A"/>
    <w:rsid w:val="00062E14"/>
    <w:rsid w:val="000638EF"/>
    <w:rsid w:val="00063CFD"/>
    <w:rsid w:val="0006536F"/>
    <w:rsid w:val="00066ABB"/>
    <w:rsid w:val="00067FC7"/>
    <w:rsid w:val="00070BFC"/>
    <w:rsid w:val="000714E6"/>
    <w:rsid w:val="00071FE5"/>
    <w:rsid w:val="0007215C"/>
    <w:rsid w:val="00072FFA"/>
    <w:rsid w:val="00073245"/>
    <w:rsid w:val="00073AA7"/>
    <w:rsid w:val="00073F44"/>
    <w:rsid w:val="00074781"/>
    <w:rsid w:val="00074EE6"/>
    <w:rsid w:val="00076202"/>
    <w:rsid w:val="00076586"/>
    <w:rsid w:val="000772BB"/>
    <w:rsid w:val="00080E19"/>
    <w:rsid w:val="00081106"/>
    <w:rsid w:val="000816B3"/>
    <w:rsid w:val="00081F84"/>
    <w:rsid w:val="00081FD6"/>
    <w:rsid w:val="000821BE"/>
    <w:rsid w:val="00083974"/>
    <w:rsid w:val="00083E12"/>
    <w:rsid w:val="000847DC"/>
    <w:rsid w:val="00084C5F"/>
    <w:rsid w:val="00087020"/>
    <w:rsid w:val="000875A5"/>
    <w:rsid w:val="0009211E"/>
    <w:rsid w:val="00092345"/>
    <w:rsid w:val="0009276B"/>
    <w:rsid w:val="00092C02"/>
    <w:rsid w:val="00092D2F"/>
    <w:rsid w:val="0009310B"/>
    <w:rsid w:val="00093369"/>
    <w:rsid w:val="000946F1"/>
    <w:rsid w:val="00094E5F"/>
    <w:rsid w:val="00094F88"/>
    <w:rsid w:val="00095B84"/>
    <w:rsid w:val="0009609C"/>
    <w:rsid w:val="000966D4"/>
    <w:rsid w:val="00096A45"/>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1D1C"/>
    <w:rsid w:val="000C2709"/>
    <w:rsid w:val="000C35E2"/>
    <w:rsid w:val="000C45FF"/>
    <w:rsid w:val="000C5017"/>
    <w:rsid w:val="000C51EE"/>
    <w:rsid w:val="000C53DB"/>
    <w:rsid w:val="000C5E24"/>
    <w:rsid w:val="000C60C2"/>
    <w:rsid w:val="000C64F6"/>
    <w:rsid w:val="000C66C7"/>
    <w:rsid w:val="000D02AE"/>
    <w:rsid w:val="000D085F"/>
    <w:rsid w:val="000D16EC"/>
    <w:rsid w:val="000D19DD"/>
    <w:rsid w:val="000D2220"/>
    <w:rsid w:val="000D33BD"/>
    <w:rsid w:val="000D3A7B"/>
    <w:rsid w:val="000D3E58"/>
    <w:rsid w:val="000D4C01"/>
    <w:rsid w:val="000D65A7"/>
    <w:rsid w:val="000E068A"/>
    <w:rsid w:val="000E19E3"/>
    <w:rsid w:val="000E1DE7"/>
    <w:rsid w:val="000E1ECB"/>
    <w:rsid w:val="000E3824"/>
    <w:rsid w:val="000E4115"/>
    <w:rsid w:val="000E43B5"/>
    <w:rsid w:val="000E496F"/>
    <w:rsid w:val="000E5122"/>
    <w:rsid w:val="000E539A"/>
    <w:rsid w:val="000E6380"/>
    <w:rsid w:val="000E6C6B"/>
    <w:rsid w:val="000E7D84"/>
    <w:rsid w:val="000F033D"/>
    <w:rsid w:val="000F0452"/>
    <w:rsid w:val="000F120C"/>
    <w:rsid w:val="000F21B6"/>
    <w:rsid w:val="000F224C"/>
    <w:rsid w:val="000F2AB9"/>
    <w:rsid w:val="000F36E4"/>
    <w:rsid w:val="000F3E38"/>
    <w:rsid w:val="000F5DF1"/>
    <w:rsid w:val="000F65D6"/>
    <w:rsid w:val="000F67B8"/>
    <w:rsid w:val="00102A20"/>
    <w:rsid w:val="0010311E"/>
    <w:rsid w:val="00103DA4"/>
    <w:rsid w:val="001060D4"/>
    <w:rsid w:val="00106B84"/>
    <w:rsid w:val="00107C4C"/>
    <w:rsid w:val="00110513"/>
    <w:rsid w:val="00110F32"/>
    <w:rsid w:val="00112C46"/>
    <w:rsid w:val="00113407"/>
    <w:rsid w:val="001137FB"/>
    <w:rsid w:val="0011389F"/>
    <w:rsid w:val="00113BF5"/>
    <w:rsid w:val="00113CB3"/>
    <w:rsid w:val="00113F39"/>
    <w:rsid w:val="0011423A"/>
    <w:rsid w:val="001145E7"/>
    <w:rsid w:val="00114BDB"/>
    <w:rsid w:val="001155B3"/>
    <w:rsid w:val="00115FAF"/>
    <w:rsid w:val="00116009"/>
    <w:rsid w:val="001173F1"/>
    <w:rsid w:val="00117DA6"/>
    <w:rsid w:val="00120547"/>
    <w:rsid w:val="001208CB"/>
    <w:rsid w:val="00123E6D"/>
    <w:rsid w:val="00124925"/>
    <w:rsid w:val="001258BB"/>
    <w:rsid w:val="0012668C"/>
    <w:rsid w:val="0012715A"/>
    <w:rsid w:val="00127759"/>
    <w:rsid w:val="00130F65"/>
    <w:rsid w:val="00132C86"/>
    <w:rsid w:val="001340C9"/>
    <w:rsid w:val="001349FB"/>
    <w:rsid w:val="00134AC2"/>
    <w:rsid w:val="00134AF9"/>
    <w:rsid w:val="00134F82"/>
    <w:rsid w:val="00136086"/>
    <w:rsid w:val="001360F1"/>
    <w:rsid w:val="0013659A"/>
    <w:rsid w:val="00136B6F"/>
    <w:rsid w:val="00137D1B"/>
    <w:rsid w:val="0014185A"/>
    <w:rsid w:val="001426CA"/>
    <w:rsid w:val="0014293F"/>
    <w:rsid w:val="00142B42"/>
    <w:rsid w:val="001446CA"/>
    <w:rsid w:val="00144C22"/>
    <w:rsid w:val="00144D31"/>
    <w:rsid w:val="00146DE3"/>
    <w:rsid w:val="00146EC7"/>
    <w:rsid w:val="00147154"/>
    <w:rsid w:val="001472A4"/>
    <w:rsid w:val="00147BF4"/>
    <w:rsid w:val="00147C42"/>
    <w:rsid w:val="00147DBF"/>
    <w:rsid w:val="00150794"/>
    <w:rsid w:val="001510CA"/>
    <w:rsid w:val="001516B9"/>
    <w:rsid w:val="00151D8A"/>
    <w:rsid w:val="00152912"/>
    <w:rsid w:val="00153066"/>
    <w:rsid w:val="001535B0"/>
    <w:rsid w:val="001536C3"/>
    <w:rsid w:val="00154713"/>
    <w:rsid w:val="00154C3B"/>
    <w:rsid w:val="00155E29"/>
    <w:rsid w:val="00156E9A"/>
    <w:rsid w:val="001575A9"/>
    <w:rsid w:val="00160A63"/>
    <w:rsid w:val="00162ADF"/>
    <w:rsid w:val="00163228"/>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1BAB"/>
    <w:rsid w:val="00182168"/>
    <w:rsid w:val="001822C9"/>
    <w:rsid w:val="00182640"/>
    <w:rsid w:val="0018285F"/>
    <w:rsid w:val="00186A6D"/>
    <w:rsid w:val="00186DF4"/>
    <w:rsid w:val="00186FE8"/>
    <w:rsid w:val="001917FE"/>
    <w:rsid w:val="001920B4"/>
    <w:rsid w:val="00192165"/>
    <w:rsid w:val="001935DE"/>
    <w:rsid w:val="001938FD"/>
    <w:rsid w:val="00193E2E"/>
    <w:rsid w:val="00193F3F"/>
    <w:rsid w:val="0019567E"/>
    <w:rsid w:val="00195C2B"/>
    <w:rsid w:val="001961D9"/>
    <w:rsid w:val="00196281"/>
    <w:rsid w:val="0019677B"/>
    <w:rsid w:val="001A0E5A"/>
    <w:rsid w:val="001A170B"/>
    <w:rsid w:val="001A24B0"/>
    <w:rsid w:val="001A3BE2"/>
    <w:rsid w:val="001A466F"/>
    <w:rsid w:val="001A4EB3"/>
    <w:rsid w:val="001A574A"/>
    <w:rsid w:val="001B019E"/>
    <w:rsid w:val="001B33CC"/>
    <w:rsid w:val="001B3799"/>
    <w:rsid w:val="001B404E"/>
    <w:rsid w:val="001B4282"/>
    <w:rsid w:val="001B60BF"/>
    <w:rsid w:val="001B799C"/>
    <w:rsid w:val="001B7A30"/>
    <w:rsid w:val="001B7D49"/>
    <w:rsid w:val="001C0639"/>
    <w:rsid w:val="001C067C"/>
    <w:rsid w:val="001C1745"/>
    <w:rsid w:val="001C185A"/>
    <w:rsid w:val="001C185D"/>
    <w:rsid w:val="001C1930"/>
    <w:rsid w:val="001C30D3"/>
    <w:rsid w:val="001C4ABF"/>
    <w:rsid w:val="001C4DB5"/>
    <w:rsid w:val="001C67DA"/>
    <w:rsid w:val="001C6EB7"/>
    <w:rsid w:val="001C7AA0"/>
    <w:rsid w:val="001C7F90"/>
    <w:rsid w:val="001D00F7"/>
    <w:rsid w:val="001D0EAF"/>
    <w:rsid w:val="001D14F7"/>
    <w:rsid w:val="001D23DD"/>
    <w:rsid w:val="001D26B9"/>
    <w:rsid w:val="001D2FA5"/>
    <w:rsid w:val="001D3612"/>
    <w:rsid w:val="001D682C"/>
    <w:rsid w:val="001E2110"/>
    <w:rsid w:val="001E2D3E"/>
    <w:rsid w:val="001E2E4F"/>
    <w:rsid w:val="001E372F"/>
    <w:rsid w:val="001E4924"/>
    <w:rsid w:val="001E54FC"/>
    <w:rsid w:val="001E6636"/>
    <w:rsid w:val="001E6AF8"/>
    <w:rsid w:val="001E6B69"/>
    <w:rsid w:val="001E74F3"/>
    <w:rsid w:val="001E7752"/>
    <w:rsid w:val="001F04C9"/>
    <w:rsid w:val="001F0AA2"/>
    <w:rsid w:val="001F101E"/>
    <w:rsid w:val="001F1748"/>
    <w:rsid w:val="001F2EF2"/>
    <w:rsid w:val="001F3D7B"/>
    <w:rsid w:val="001F59CD"/>
    <w:rsid w:val="001F6599"/>
    <w:rsid w:val="001F77DC"/>
    <w:rsid w:val="002005E2"/>
    <w:rsid w:val="00200E17"/>
    <w:rsid w:val="0020128F"/>
    <w:rsid w:val="002021B3"/>
    <w:rsid w:val="00204EFC"/>
    <w:rsid w:val="0020555B"/>
    <w:rsid w:val="002071F6"/>
    <w:rsid w:val="002071FF"/>
    <w:rsid w:val="002075EA"/>
    <w:rsid w:val="00207EBF"/>
    <w:rsid w:val="00207FF1"/>
    <w:rsid w:val="002121DE"/>
    <w:rsid w:val="002122D2"/>
    <w:rsid w:val="0021404C"/>
    <w:rsid w:val="002149B6"/>
    <w:rsid w:val="0021513D"/>
    <w:rsid w:val="00215172"/>
    <w:rsid w:val="002152FA"/>
    <w:rsid w:val="0021570D"/>
    <w:rsid w:val="00215B3E"/>
    <w:rsid w:val="00216034"/>
    <w:rsid w:val="00216A65"/>
    <w:rsid w:val="00217E5E"/>
    <w:rsid w:val="00220292"/>
    <w:rsid w:val="00221B5A"/>
    <w:rsid w:val="00222E89"/>
    <w:rsid w:val="00223124"/>
    <w:rsid w:val="00223A62"/>
    <w:rsid w:val="002249DB"/>
    <w:rsid w:val="00224DCF"/>
    <w:rsid w:val="00225056"/>
    <w:rsid w:val="00226DDB"/>
    <w:rsid w:val="00226EAA"/>
    <w:rsid w:val="00227DEE"/>
    <w:rsid w:val="00230338"/>
    <w:rsid w:val="002327FC"/>
    <w:rsid w:val="00232E36"/>
    <w:rsid w:val="00233A0A"/>
    <w:rsid w:val="0023612C"/>
    <w:rsid w:val="00236931"/>
    <w:rsid w:val="0024092B"/>
    <w:rsid w:val="0024129E"/>
    <w:rsid w:val="00241AA1"/>
    <w:rsid w:val="00241B4F"/>
    <w:rsid w:val="00243FD9"/>
    <w:rsid w:val="00244120"/>
    <w:rsid w:val="00246FF1"/>
    <w:rsid w:val="0024734E"/>
    <w:rsid w:val="00251245"/>
    <w:rsid w:val="00251AC7"/>
    <w:rsid w:val="0025377E"/>
    <w:rsid w:val="00253FF0"/>
    <w:rsid w:val="00254702"/>
    <w:rsid w:val="00254ACB"/>
    <w:rsid w:val="00254EB1"/>
    <w:rsid w:val="0025501B"/>
    <w:rsid w:val="0025509C"/>
    <w:rsid w:val="0026086A"/>
    <w:rsid w:val="00261382"/>
    <w:rsid w:val="00261FDF"/>
    <w:rsid w:val="00265B9C"/>
    <w:rsid w:val="002704B9"/>
    <w:rsid w:val="00270DDA"/>
    <w:rsid w:val="00271135"/>
    <w:rsid w:val="00271A29"/>
    <w:rsid w:val="00271D53"/>
    <w:rsid w:val="00272013"/>
    <w:rsid w:val="00273931"/>
    <w:rsid w:val="00274FB1"/>
    <w:rsid w:val="0027568B"/>
    <w:rsid w:val="0027587E"/>
    <w:rsid w:val="00275D22"/>
    <w:rsid w:val="00275E09"/>
    <w:rsid w:val="00276BA1"/>
    <w:rsid w:val="00277702"/>
    <w:rsid w:val="002778F6"/>
    <w:rsid w:val="00277B32"/>
    <w:rsid w:val="00280106"/>
    <w:rsid w:val="00280AAC"/>
    <w:rsid w:val="00281809"/>
    <w:rsid w:val="00281AB6"/>
    <w:rsid w:val="00281CDF"/>
    <w:rsid w:val="0028226B"/>
    <w:rsid w:val="002827FE"/>
    <w:rsid w:val="00282A6B"/>
    <w:rsid w:val="00283109"/>
    <w:rsid w:val="00283FA4"/>
    <w:rsid w:val="00284C1D"/>
    <w:rsid w:val="00285D15"/>
    <w:rsid w:val="00286448"/>
    <w:rsid w:val="00286477"/>
    <w:rsid w:val="002872AD"/>
    <w:rsid w:val="002874BE"/>
    <w:rsid w:val="002876A7"/>
    <w:rsid w:val="00290262"/>
    <w:rsid w:val="00290786"/>
    <w:rsid w:val="00291B33"/>
    <w:rsid w:val="00291E2C"/>
    <w:rsid w:val="0029281D"/>
    <w:rsid w:val="0029334F"/>
    <w:rsid w:val="00293E01"/>
    <w:rsid w:val="0029478F"/>
    <w:rsid w:val="0029516A"/>
    <w:rsid w:val="002959AC"/>
    <w:rsid w:val="002968DD"/>
    <w:rsid w:val="00297C15"/>
    <w:rsid w:val="002A0F5B"/>
    <w:rsid w:val="002A21AE"/>
    <w:rsid w:val="002A42A5"/>
    <w:rsid w:val="002A47B7"/>
    <w:rsid w:val="002A53AC"/>
    <w:rsid w:val="002A6255"/>
    <w:rsid w:val="002A7C66"/>
    <w:rsid w:val="002B0E2D"/>
    <w:rsid w:val="002B1962"/>
    <w:rsid w:val="002B1FC9"/>
    <w:rsid w:val="002B1FE7"/>
    <w:rsid w:val="002B228B"/>
    <w:rsid w:val="002B25D2"/>
    <w:rsid w:val="002B3A58"/>
    <w:rsid w:val="002B3D56"/>
    <w:rsid w:val="002B43DB"/>
    <w:rsid w:val="002B56D4"/>
    <w:rsid w:val="002B6AD9"/>
    <w:rsid w:val="002B79E0"/>
    <w:rsid w:val="002C112B"/>
    <w:rsid w:val="002C1211"/>
    <w:rsid w:val="002C1261"/>
    <w:rsid w:val="002C2938"/>
    <w:rsid w:val="002C3C01"/>
    <w:rsid w:val="002C3D0B"/>
    <w:rsid w:val="002C4AC0"/>
    <w:rsid w:val="002C4BAB"/>
    <w:rsid w:val="002C67B0"/>
    <w:rsid w:val="002C7A80"/>
    <w:rsid w:val="002D02A7"/>
    <w:rsid w:val="002D02FA"/>
    <w:rsid w:val="002D2DCD"/>
    <w:rsid w:val="002D313A"/>
    <w:rsid w:val="002D3490"/>
    <w:rsid w:val="002D3503"/>
    <w:rsid w:val="002D4CD5"/>
    <w:rsid w:val="002D5145"/>
    <w:rsid w:val="002D6406"/>
    <w:rsid w:val="002D6BAE"/>
    <w:rsid w:val="002D728B"/>
    <w:rsid w:val="002E0E15"/>
    <w:rsid w:val="002E1C70"/>
    <w:rsid w:val="002E1D4A"/>
    <w:rsid w:val="002E2BF9"/>
    <w:rsid w:val="002E2C83"/>
    <w:rsid w:val="002F3145"/>
    <w:rsid w:val="002F329C"/>
    <w:rsid w:val="002F3900"/>
    <w:rsid w:val="002F3E25"/>
    <w:rsid w:val="002F3F4B"/>
    <w:rsid w:val="002F450D"/>
    <w:rsid w:val="002F46B4"/>
    <w:rsid w:val="002F592C"/>
    <w:rsid w:val="002F6F4F"/>
    <w:rsid w:val="002F7DB8"/>
    <w:rsid w:val="003003BD"/>
    <w:rsid w:val="00300CC5"/>
    <w:rsid w:val="0030117E"/>
    <w:rsid w:val="0030153C"/>
    <w:rsid w:val="00301C3D"/>
    <w:rsid w:val="00301EF5"/>
    <w:rsid w:val="00301F17"/>
    <w:rsid w:val="0030205D"/>
    <w:rsid w:val="00302539"/>
    <w:rsid w:val="00303237"/>
    <w:rsid w:val="0030324A"/>
    <w:rsid w:val="00305777"/>
    <w:rsid w:val="003067B1"/>
    <w:rsid w:val="00306812"/>
    <w:rsid w:val="003072D5"/>
    <w:rsid w:val="003102FE"/>
    <w:rsid w:val="00310429"/>
    <w:rsid w:val="00310AB7"/>
    <w:rsid w:val="00313E6E"/>
    <w:rsid w:val="00314D99"/>
    <w:rsid w:val="00314E7F"/>
    <w:rsid w:val="0031633F"/>
    <w:rsid w:val="00316A0F"/>
    <w:rsid w:val="003179A9"/>
    <w:rsid w:val="00320C80"/>
    <w:rsid w:val="0032137F"/>
    <w:rsid w:val="00322C78"/>
    <w:rsid w:val="00323E4E"/>
    <w:rsid w:val="00323F41"/>
    <w:rsid w:val="00325261"/>
    <w:rsid w:val="0032644E"/>
    <w:rsid w:val="0032666D"/>
    <w:rsid w:val="00326C71"/>
    <w:rsid w:val="0033065A"/>
    <w:rsid w:val="003312BF"/>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36C9"/>
    <w:rsid w:val="003441C5"/>
    <w:rsid w:val="0034494E"/>
    <w:rsid w:val="0034527F"/>
    <w:rsid w:val="003463ED"/>
    <w:rsid w:val="00347736"/>
    <w:rsid w:val="003479D4"/>
    <w:rsid w:val="003524B1"/>
    <w:rsid w:val="0035258D"/>
    <w:rsid w:val="003526B2"/>
    <w:rsid w:val="003528CD"/>
    <w:rsid w:val="00353DDB"/>
    <w:rsid w:val="0035468F"/>
    <w:rsid w:val="003550C3"/>
    <w:rsid w:val="003551D0"/>
    <w:rsid w:val="0035561E"/>
    <w:rsid w:val="00357149"/>
    <w:rsid w:val="0036093F"/>
    <w:rsid w:val="003616B4"/>
    <w:rsid w:val="00362ADD"/>
    <w:rsid w:val="003644FB"/>
    <w:rsid w:val="0036495F"/>
    <w:rsid w:val="00365E0F"/>
    <w:rsid w:val="00367404"/>
    <w:rsid w:val="003727C1"/>
    <w:rsid w:val="003738E5"/>
    <w:rsid w:val="00375931"/>
    <w:rsid w:val="00376923"/>
    <w:rsid w:val="00376C61"/>
    <w:rsid w:val="00377291"/>
    <w:rsid w:val="00377A6F"/>
    <w:rsid w:val="00381D60"/>
    <w:rsid w:val="00382894"/>
    <w:rsid w:val="0038336D"/>
    <w:rsid w:val="00383D0D"/>
    <w:rsid w:val="003853CD"/>
    <w:rsid w:val="00385BCF"/>
    <w:rsid w:val="00386954"/>
    <w:rsid w:val="0039264B"/>
    <w:rsid w:val="00392DC9"/>
    <w:rsid w:val="00392E28"/>
    <w:rsid w:val="00393CEE"/>
    <w:rsid w:val="0039426F"/>
    <w:rsid w:val="0039506D"/>
    <w:rsid w:val="003961A4"/>
    <w:rsid w:val="00396BA9"/>
    <w:rsid w:val="00396FEA"/>
    <w:rsid w:val="003A1D19"/>
    <w:rsid w:val="003A2309"/>
    <w:rsid w:val="003A3364"/>
    <w:rsid w:val="003A458E"/>
    <w:rsid w:val="003A4596"/>
    <w:rsid w:val="003A46C1"/>
    <w:rsid w:val="003A4C44"/>
    <w:rsid w:val="003A69ED"/>
    <w:rsid w:val="003B23D7"/>
    <w:rsid w:val="003B3803"/>
    <w:rsid w:val="003B5C8F"/>
    <w:rsid w:val="003B6831"/>
    <w:rsid w:val="003B6A3F"/>
    <w:rsid w:val="003B6D10"/>
    <w:rsid w:val="003B79DF"/>
    <w:rsid w:val="003C03A8"/>
    <w:rsid w:val="003C1E35"/>
    <w:rsid w:val="003C38C4"/>
    <w:rsid w:val="003C4039"/>
    <w:rsid w:val="003C49AF"/>
    <w:rsid w:val="003C53ED"/>
    <w:rsid w:val="003D01FA"/>
    <w:rsid w:val="003D365A"/>
    <w:rsid w:val="003D5D09"/>
    <w:rsid w:val="003D634B"/>
    <w:rsid w:val="003D6B83"/>
    <w:rsid w:val="003E0131"/>
    <w:rsid w:val="003E0A82"/>
    <w:rsid w:val="003E19E5"/>
    <w:rsid w:val="003E245C"/>
    <w:rsid w:val="003E2DA4"/>
    <w:rsid w:val="003E300B"/>
    <w:rsid w:val="003E4E47"/>
    <w:rsid w:val="003E59AF"/>
    <w:rsid w:val="003E780E"/>
    <w:rsid w:val="003F0415"/>
    <w:rsid w:val="003F1AD0"/>
    <w:rsid w:val="003F3C92"/>
    <w:rsid w:val="003F4133"/>
    <w:rsid w:val="003F4485"/>
    <w:rsid w:val="003F699C"/>
    <w:rsid w:val="00400625"/>
    <w:rsid w:val="00400E68"/>
    <w:rsid w:val="004011DE"/>
    <w:rsid w:val="00401DC8"/>
    <w:rsid w:val="00402213"/>
    <w:rsid w:val="00402C56"/>
    <w:rsid w:val="00403161"/>
    <w:rsid w:val="00404065"/>
    <w:rsid w:val="0040422E"/>
    <w:rsid w:val="00405212"/>
    <w:rsid w:val="00406CA9"/>
    <w:rsid w:val="00410B68"/>
    <w:rsid w:val="004132D1"/>
    <w:rsid w:val="00413956"/>
    <w:rsid w:val="00413CEE"/>
    <w:rsid w:val="004140D9"/>
    <w:rsid w:val="0041583A"/>
    <w:rsid w:val="00415A85"/>
    <w:rsid w:val="00416E60"/>
    <w:rsid w:val="004207C1"/>
    <w:rsid w:val="00420DE8"/>
    <w:rsid w:val="00423DA3"/>
    <w:rsid w:val="0042401A"/>
    <w:rsid w:val="00424A7D"/>
    <w:rsid w:val="00424DDB"/>
    <w:rsid w:val="00424FCC"/>
    <w:rsid w:val="00425059"/>
    <w:rsid w:val="00426F5C"/>
    <w:rsid w:val="0042713A"/>
    <w:rsid w:val="00427EE0"/>
    <w:rsid w:val="0043011A"/>
    <w:rsid w:val="004335BD"/>
    <w:rsid w:val="0043457F"/>
    <w:rsid w:val="00435512"/>
    <w:rsid w:val="00436720"/>
    <w:rsid w:val="0043703E"/>
    <w:rsid w:val="004418A1"/>
    <w:rsid w:val="00443555"/>
    <w:rsid w:val="004435E6"/>
    <w:rsid w:val="00443681"/>
    <w:rsid w:val="004436DC"/>
    <w:rsid w:val="00444AE6"/>
    <w:rsid w:val="00445837"/>
    <w:rsid w:val="00446CE9"/>
    <w:rsid w:val="00446FD1"/>
    <w:rsid w:val="004474EE"/>
    <w:rsid w:val="00450377"/>
    <w:rsid w:val="004508FF"/>
    <w:rsid w:val="00450AA5"/>
    <w:rsid w:val="00450AB3"/>
    <w:rsid w:val="00451774"/>
    <w:rsid w:val="00452142"/>
    <w:rsid w:val="004527F5"/>
    <w:rsid w:val="004533DD"/>
    <w:rsid w:val="00453C26"/>
    <w:rsid w:val="0045450A"/>
    <w:rsid w:val="00454949"/>
    <w:rsid w:val="0045595E"/>
    <w:rsid w:val="004602DB"/>
    <w:rsid w:val="0046180F"/>
    <w:rsid w:val="00464A3D"/>
    <w:rsid w:val="00466520"/>
    <w:rsid w:val="00467853"/>
    <w:rsid w:val="00467C21"/>
    <w:rsid w:val="004710DC"/>
    <w:rsid w:val="004713FB"/>
    <w:rsid w:val="00473562"/>
    <w:rsid w:val="00473C1A"/>
    <w:rsid w:val="00474271"/>
    <w:rsid w:val="00474678"/>
    <w:rsid w:val="0047617A"/>
    <w:rsid w:val="00477C68"/>
    <w:rsid w:val="00480421"/>
    <w:rsid w:val="004808CC"/>
    <w:rsid w:val="00480D73"/>
    <w:rsid w:val="0048102A"/>
    <w:rsid w:val="004819DE"/>
    <w:rsid w:val="004833B0"/>
    <w:rsid w:val="00483E04"/>
    <w:rsid w:val="0048569C"/>
    <w:rsid w:val="00485B0F"/>
    <w:rsid w:val="00486CB3"/>
    <w:rsid w:val="00486CFC"/>
    <w:rsid w:val="004870CC"/>
    <w:rsid w:val="00487340"/>
    <w:rsid w:val="00490BA7"/>
    <w:rsid w:val="0049205D"/>
    <w:rsid w:val="004920CF"/>
    <w:rsid w:val="00493C98"/>
    <w:rsid w:val="00495556"/>
    <w:rsid w:val="00496719"/>
    <w:rsid w:val="00496763"/>
    <w:rsid w:val="004969EE"/>
    <w:rsid w:val="00497673"/>
    <w:rsid w:val="00497F0C"/>
    <w:rsid w:val="004A07FA"/>
    <w:rsid w:val="004A2D71"/>
    <w:rsid w:val="004A338B"/>
    <w:rsid w:val="004A43DA"/>
    <w:rsid w:val="004A461F"/>
    <w:rsid w:val="004A4AB5"/>
    <w:rsid w:val="004B1D4E"/>
    <w:rsid w:val="004B1F72"/>
    <w:rsid w:val="004B20C7"/>
    <w:rsid w:val="004B2654"/>
    <w:rsid w:val="004B28C5"/>
    <w:rsid w:val="004B32DC"/>
    <w:rsid w:val="004B3949"/>
    <w:rsid w:val="004B3976"/>
    <w:rsid w:val="004B3E8C"/>
    <w:rsid w:val="004B65A1"/>
    <w:rsid w:val="004B6600"/>
    <w:rsid w:val="004B71EE"/>
    <w:rsid w:val="004B7424"/>
    <w:rsid w:val="004B74AD"/>
    <w:rsid w:val="004B78F0"/>
    <w:rsid w:val="004C0A5C"/>
    <w:rsid w:val="004C1619"/>
    <w:rsid w:val="004C1FF5"/>
    <w:rsid w:val="004C318D"/>
    <w:rsid w:val="004C4C01"/>
    <w:rsid w:val="004C5EA5"/>
    <w:rsid w:val="004C6208"/>
    <w:rsid w:val="004C70EC"/>
    <w:rsid w:val="004C7495"/>
    <w:rsid w:val="004D07C5"/>
    <w:rsid w:val="004D0A0E"/>
    <w:rsid w:val="004D0EDA"/>
    <w:rsid w:val="004D220B"/>
    <w:rsid w:val="004D234A"/>
    <w:rsid w:val="004D277D"/>
    <w:rsid w:val="004D284B"/>
    <w:rsid w:val="004D2C68"/>
    <w:rsid w:val="004D320E"/>
    <w:rsid w:val="004D4A9E"/>
    <w:rsid w:val="004D5006"/>
    <w:rsid w:val="004D509E"/>
    <w:rsid w:val="004D7D42"/>
    <w:rsid w:val="004D7FE4"/>
    <w:rsid w:val="004E0492"/>
    <w:rsid w:val="004E076E"/>
    <w:rsid w:val="004E0C02"/>
    <w:rsid w:val="004E30DC"/>
    <w:rsid w:val="004E34A5"/>
    <w:rsid w:val="004E436B"/>
    <w:rsid w:val="004E58F3"/>
    <w:rsid w:val="004E5EDA"/>
    <w:rsid w:val="004E5F29"/>
    <w:rsid w:val="004E6F2B"/>
    <w:rsid w:val="004E71AE"/>
    <w:rsid w:val="004F0137"/>
    <w:rsid w:val="004F0551"/>
    <w:rsid w:val="004F0640"/>
    <w:rsid w:val="004F0AF4"/>
    <w:rsid w:val="004F23EF"/>
    <w:rsid w:val="004F36B9"/>
    <w:rsid w:val="004F3A56"/>
    <w:rsid w:val="004F488A"/>
    <w:rsid w:val="004F5AEA"/>
    <w:rsid w:val="004F6D04"/>
    <w:rsid w:val="004F6D17"/>
    <w:rsid w:val="00500BE3"/>
    <w:rsid w:val="00501FD8"/>
    <w:rsid w:val="005034BD"/>
    <w:rsid w:val="005035E2"/>
    <w:rsid w:val="0050387B"/>
    <w:rsid w:val="005046DF"/>
    <w:rsid w:val="005048A3"/>
    <w:rsid w:val="005051CD"/>
    <w:rsid w:val="00505611"/>
    <w:rsid w:val="00505799"/>
    <w:rsid w:val="005058EB"/>
    <w:rsid w:val="00506216"/>
    <w:rsid w:val="00507AA9"/>
    <w:rsid w:val="0051127D"/>
    <w:rsid w:val="00513FAC"/>
    <w:rsid w:val="00514E24"/>
    <w:rsid w:val="00516216"/>
    <w:rsid w:val="0051635D"/>
    <w:rsid w:val="005166E0"/>
    <w:rsid w:val="00516F6D"/>
    <w:rsid w:val="00517A92"/>
    <w:rsid w:val="00522096"/>
    <w:rsid w:val="005220C6"/>
    <w:rsid w:val="005228B8"/>
    <w:rsid w:val="00522F09"/>
    <w:rsid w:val="005233BC"/>
    <w:rsid w:val="005253BF"/>
    <w:rsid w:val="005257E8"/>
    <w:rsid w:val="0052783D"/>
    <w:rsid w:val="00527EF2"/>
    <w:rsid w:val="00530B60"/>
    <w:rsid w:val="0053334A"/>
    <w:rsid w:val="005337E8"/>
    <w:rsid w:val="00533C8E"/>
    <w:rsid w:val="00534206"/>
    <w:rsid w:val="00535700"/>
    <w:rsid w:val="00537D57"/>
    <w:rsid w:val="00540390"/>
    <w:rsid w:val="00541600"/>
    <w:rsid w:val="00541D82"/>
    <w:rsid w:val="00541E47"/>
    <w:rsid w:val="00543B47"/>
    <w:rsid w:val="005441CC"/>
    <w:rsid w:val="00544DBC"/>
    <w:rsid w:val="00545F4B"/>
    <w:rsid w:val="005463C4"/>
    <w:rsid w:val="005479AB"/>
    <w:rsid w:val="0055036C"/>
    <w:rsid w:val="005506CE"/>
    <w:rsid w:val="0055236E"/>
    <w:rsid w:val="005526FA"/>
    <w:rsid w:val="00552DB7"/>
    <w:rsid w:val="00553ABF"/>
    <w:rsid w:val="00554020"/>
    <w:rsid w:val="005553E5"/>
    <w:rsid w:val="00555ABA"/>
    <w:rsid w:val="005560DE"/>
    <w:rsid w:val="005565D4"/>
    <w:rsid w:val="00556994"/>
    <w:rsid w:val="005569D1"/>
    <w:rsid w:val="005607CA"/>
    <w:rsid w:val="00561290"/>
    <w:rsid w:val="00561432"/>
    <w:rsid w:val="0056170E"/>
    <w:rsid w:val="00561A13"/>
    <w:rsid w:val="00561C95"/>
    <w:rsid w:val="00563FC7"/>
    <w:rsid w:val="0056490B"/>
    <w:rsid w:val="00564A4C"/>
    <w:rsid w:val="00566490"/>
    <w:rsid w:val="00566638"/>
    <w:rsid w:val="005668F2"/>
    <w:rsid w:val="00566B15"/>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13FE"/>
    <w:rsid w:val="00583222"/>
    <w:rsid w:val="00583DE4"/>
    <w:rsid w:val="005851CE"/>
    <w:rsid w:val="005852D7"/>
    <w:rsid w:val="00587057"/>
    <w:rsid w:val="005879FD"/>
    <w:rsid w:val="00587C4F"/>
    <w:rsid w:val="00590493"/>
    <w:rsid w:val="00590A20"/>
    <w:rsid w:val="00591F83"/>
    <w:rsid w:val="005942E0"/>
    <w:rsid w:val="005946B9"/>
    <w:rsid w:val="0059487D"/>
    <w:rsid w:val="00594ADA"/>
    <w:rsid w:val="0059596D"/>
    <w:rsid w:val="00595AA9"/>
    <w:rsid w:val="00596E08"/>
    <w:rsid w:val="005A1824"/>
    <w:rsid w:val="005A1A56"/>
    <w:rsid w:val="005A241E"/>
    <w:rsid w:val="005A3718"/>
    <w:rsid w:val="005A4B61"/>
    <w:rsid w:val="005A53E0"/>
    <w:rsid w:val="005A5AF2"/>
    <w:rsid w:val="005A683D"/>
    <w:rsid w:val="005A787B"/>
    <w:rsid w:val="005B0432"/>
    <w:rsid w:val="005B1133"/>
    <w:rsid w:val="005B2215"/>
    <w:rsid w:val="005B27BD"/>
    <w:rsid w:val="005B2A08"/>
    <w:rsid w:val="005B2C13"/>
    <w:rsid w:val="005B2CA5"/>
    <w:rsid w:val="005B4ACD"/>
    <w:rsid w:val="005B53DB"/>
    <w:rsid w:val="005B7AC4"/>
    <w:rsid w:val="005B7BD5"/>
    <w:rsid w:val="005B7DB0"/>
    <w:rsid w:val="005C04B1"/>
    <w:rsid w:val="005C0BD5"/>
    <w:rsid w:val="005C0E6B"/>
    <w:rsid w:val="005C1268"/>
    <w:rsid w:val="005C1546"/>
    <w:rsid w:val="005C1EC2"/>
    <w:rsid w:val="005C2176"/>
    <w:rsid w:val="005C221A"/>
    <w:rsid w:val="005C275C"/>
    <w:rsid w:val="005C295A"/>
    <w:rsid w:val="005C3952"/>
    <w:rsid w:val="005C5728"/>
    <w:rsid w:val="005C57DB"/>
    <w:rsid w:val="005C6E22"/>
    <w:rsid w:val="005C7C1E"/>
    <w:rsid w:val="005C7EE5"/>
    <w:rsid w:val="005D0442"/>
    <w:rsid w:val="005D0750"/>
    <w:rsid w:val="005D11B0"/>
    <w:rsid w:val="005D27E5"/>
    <w:rsid w:val="005D32C5"/>
    <w:rsid w:val="005D5098"/>
    <w:rsid w:val="005D57C5"/>
    <w:rsid w:val="005D5A90"/>
    <w:rsid w:val="005E0309"/>
    <w:rsid w:val="005E29AC"/>
    <w:rsid w:val="005E2EF0"/>
    <w:rsid w:val="005E384E"/>
    <w:rsid w:val="005E40EB"/>
    <w:rsid w:val="005E4507"/>
    <w:rsid w:val="005E6A6B"/>
    <w:rsid w:val="005E6BA2"/>
    <w:rsid w:val="005F0BF9"/>
    <w:rsid w:val="005F14E3"/>
    <w:rsid w:val="005F2B4D"/>
    <w:rsid w:val="005F3AEF"/>
    <w:rsid w:val="005F40E7"/>
    <w:rsid w:val="005F4EFF"/>
    <w:rsid w:val="005F52B5"/>
    <w:rsid w:val="005F6973"/>
    <w:rsid w:val="005F7A55"/>
    <w:rsid w:val="00600005"/>
    <w:rsid w:val="006010CC"/>
    <w:rsid w:val="00601C6B"/>
    <w:rsid w:val="006020EF"/>
    <w:rsid w:val="00603EC7"/>
    <w:rsid w:val="00604369"/>
    <w:rsid w:val="006047E2"/>
    <w:rsid w:val="006062FA"/>
    <w:rsid w:val="0061022B"/>
    <w:rsid w:val="00610A63"/>
    <w:rsid w:val="00610F02"/>
    <w:rsid w:val="006114A6"/>
    <w:rsid w:val="00611B4B"/>
    <w:rsid w:val="00612312"/>
    <w:rsid w:val="006160CB"/>
    <w:rsid w:val="00616869"/>
    <w:rsid w:val="00616D69"/>
    <w:rsid w:val="006207F5"/>
    <w:rsid w:val="00621DC9"/>
    <w:rsid w:val="00622179"/>
    <w:rsid w:val="00622433"/>
    <w:rsid w:val="00622D9D"/>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51A7"/>
    <w:rsid w:val="006463E4"/>
    <w:rsid w:val="00647811"/>
    <w:rsid w:val="00651070"/>
    <w:rsid w:val="006515CC"/>
    <w:rsid w:val="00651BA4"/>
    <w:rsid w:val="00652665"/>
    <w:rsid w:val="0065295B"/>
    <w:rsid w:val="00653D0D"/>
    <w:rsid w:val="0065406D"/>
    <w:rsid w:val="0065429A"/>
    <w:rsid w:val="00657D0D"/>
    <w:rsid w:val="006631E3"/>
    <w:rsid w:val="006636C9"/>
    <w:rsid w:val="00663C49"/>
    <w:rsid w:val="006664D4"/>
    <w:rsid w:val="00666664"/>
    <w:rsid w:val="00666D61"/>
    <w:rsid w:val="006701E2"/>
    <w:rsid w:val="00670338"/>
    <w:rsid w:val="0067076C"/>
    <w:rsid w:val="00670C2C"/>
    <w:rsid w:val="00670DE0"/>
    <w:rsid w:val="006726E0"/>
    <w:rsid w:val="00673126"/>
    <w:rsid w:val="00673256"/>
    <w:rsid w:val="0067383E"/>
    <w:rsid w:val="00673BB3"/>
    <w:rsid w:val="00673EEC"/>
    <w:rsid w:val="0067470F"/>
    <w:rsid w:val="00675436"/>
    <w:rsid w:val="00675CA7"/>
    <w:rsid w:val="00676A46"/>
    <w:rsid w:val="00680064"/>
    <w:rsid w:val="00680AD3"/>
    <w:rsid w:val="00680D5D"/>
    <w:rsid w:val="00681C00"/>
    <w:rsid w:val="00681DFD"/>
    <w:rsid w:val="00682333"/>
    <w:rsid w:val="0068310C"/>
    <w:rsid w:val="006834E4"/>
    <w:rsid w:val="00683A15"/>
    <w:rsid w:val="00684038"/>
    <w:rsid w:val="006842BD"/>
    <w:rsid w:val="00685C95"/>
    <w:rsid w:val="0069167B"/>
    <w:rsid w:val="00691E5D"/>
    <w:rsid w:val="00692057"/>
    <w:rsid w:val="0069237B"/>
    <w:rsid w:val="0069393D"/>
    <w:rsid w:val="00693A89"/>
    <w:rsid w:val="00693C39"/>
    <w:rsid w:val="00695F2A"/>
    <w:rsid w:val="00696037"/>
    <w:rsid w:val="006961C5"/>
    <w:rsid w:val="00696B6E"/>
    <w:rsid w:val="00697560"/>
    <w:rsid w:val="006A0021"/>
    <w:rsid w:val="006A11C9"/>
    <w:rsid w:val="006A11FD"/>
    <w:rsid w:val="006A2517"/>
    <w:rsid w:val="006A2F68"/>
    <w:rsid w:val="006A5985"/>
    <w:rsid w:val="006A644C"/>
    <w:rsid w:val="006A69E4"/>
    <w:rsid w:val="006A7045"/>
    <w:rsid w:val="006A7D75"/>
    <w:rsid w:val="006B1034"/>
    <w:rsid w:val="006B19A1"/>
    <w:rsid w:val="006B294C"/>
    <w:rsid w:val="006B53A9"/>
    <w:rsid w:val="006B573D"/>
    <w:rsid w:val="006B675C"/>
    <w:rsid w:val="006B676E"/>
    <w:rsid w:val="006B69AD"/>
    <w:rsid w:val="006B74A5"/>
    <w:rsid w:val="006B7567"/>
    <w:rsid w:val="006C0325"/>
    <w:rsid w:val="006C0832"/>
    <w:rsid w:val="006C1CD5"/>
    <w:rsid w:val="006C2B51"/>
    <w:rsid w:val="006C347F"/>
    <w:rsid w:val="006C34E5"/>
    <w:rsid w:val="006C365B"/>
    <w:rsid w:val="006C42A1"/>
    <w:rsid w:val="006C6701"/>
    <w:rsid w:val="006C7996"/>
    <w:rsid w:val="006C7B41"/>
    <w:rsid w:val="006D4919"/>
    <w:rsid w:val="006D6073"/>
    <w:rsid w:val="006D6266"/>
    <w:rsid w:val="006E00FA"/>
    <w:rsid w:val="006E055E"/>
    <w:rsid w:val="006E0E6C"/>
    <w:rsid w:val="006E1030"/>
    <w:rsid w:val="006E16B8"/>
    <w:rsid w:val="006E2079"/>
    <w:rsid w:val="006E2D82"/>
    <w:rsid w:val="006E5041"/>
    <w:rsid w:val="006E510D"/>
    <w:rsid w:val="006E6687"/>
    <w:rsid w:val="006E7597"/>
    <w:rsid w:val="006F247E"/>
    <w:rsid w:val="006F2FDC"/>
    <w:rsid w:val="006F3637"/>
    <w:rsid w:val="006F37D9"/>
    <w:rsid w:val="006F3CA1"/>
    <w:rsid w:val="006F4409"/>
    <w:rsid w:val="006F46EF"/>
    <w:rsid w:val="006F4CCF"/>
    <w:rsid w:val="006F4F97"/>
    <w:rsid w:val="006F6119"/>
    <w:rsid w:val="006F6E18"/>
    <w:rsid w:val="00701F36"/>
    <w:rsid w:val="00702352"/>
    <w:rsid w:val="00702403"/>
    <w:rsid w:val="00702959"/>
    <w:rsid w:val="00702D7C"/>
    <w:rsid w:val="00703BB1"/>
    <w:rsid w:val="0070404B"/>
    <w:rsid w:val="007042D7"/>
    <w:rsid w:val="00704D31"/>
    <w:rsid w:val="0070569C"/>
    <w:rsid w:val="00706660"/>
    <w:rsid w:val="00706725"/>
    <w:rsid w:val="00707599"/>
    <w:rsid w:val="00707BD7"/>
    <w:rsid w:val="00712EDA"/>
    <w:rsid w:val="00713056"/>
    <w:rsid w:val="007138FF"/>
    <w:rsid w:val="00713F7A"/>
    <w:rsid w:val="00714246"/>
    <w:rsid w:val="00714FD2"/>
    <w:rsid w:val="007155D1"/>
    <w:rsid w:val="00716462"/>
    <w:rsid w:val="00717C5D"/>
    <w:rsid w:val="0072207E"/>
    <w:rsid w:val="00722224"/>
    <w:rsid w:val="007246A2"/>
    <w:rsid w:val="00725C76"/>
    <w:rsid w:val="007304EE"/>
    <w:rsid w:val="00732965"/>
    <w:rsid w:val="007340C2"/>
    <w:rsid w:val="00734C12"/>
    <w:rsid w:val="0073539A"/>
    <w:rsid w:val="00735F6C"/>
    <w:rsid w:val="00736A48"/>
    <w:rsid w:val="00736CFD"/>
    <w:rsid w:val="00736D72"/>
    <w:rsid w:val="00737164"/>
    <w:rsid w:val="00737A26"/>
    <w:rsid w:val="00737AFE"/>
    <w:rsid w:val="00737EA5"/>
    <w:rsid w:val="007408CD"/>
    <w:rsid w:val="00740A2A"/>
    <w:rsid w:val="00742A9A"/>
    <w:rsid w:val="00744128"/>
    <w:rsid w:val="00744A75"/>
    <w:rsid w:val="00745576"/>
    <w:rsid w:val="00745E39"/>
    <w:rsid w:val="00746BCF"/>
    <w:rsid w:val="007478E0"/>
    <w:rsid w:val="00747F2D"/>
    <w:rsid w:val="00750C9E"/>
    <w:rsid w:val="007512FA"/>
    <w:rsid w:val="007513D9"/>
    <w:rsid w:val="007515B3"/>
    <w:rsid w:val="00751972"/>
    <w:rsid w:val="007521E9"/>
    <w:rsid w:val="0075240D"/>
    <w:rsid w:val="00754B6E"/>
    <w:rsid w:val="007554B0"/>
    <w:rsid w:val="007578B1"/>
    <w:rsid w:val="00757A76"/>
    <w:rsid w:val="00757CBA"/>
    <w:rsid w:val="00757E52"/>
    <w:rsid w:val="00760DCC"/>
    <w:rsid w:val="007612FB"/>
    <w:rsid w:val="007619FB"/>
    <w:rsid w:val="0076418A"/>
    <w:rsid w:val="007642CB"/>
    <w:rsid w:val="00765226"/>
    <w:rsid w:val="00765520"/>
    <w:rsid w:val="00766879"/>
    <w:rsid w:val="00767CC0"/>
    <w:rsid w:val="00767E08"/>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6AE3"/>
    <w:rsid w:val="00787652"/>
    <w:rsid w:val="00790BCC"/>
    <w:rsid w:val="00790BEF"/>
    <w:rsid w:val="007914E7"/>
    <w:rsid w:val="00791919"/>
    <w:rsid w:val="00791BFC"/>
    <w:rsid w:val="00791F31"/>
    <w:rsid w:val="00792077"/>
    <w:rsid w:val="0079312B"/>
    <w:rsid w:val="0079338A"/>
    <w:rsid w:val="0079416A"/>
    <w:rsid w:val="00794C2B"/>
    <w:rsid w:val="0079523B"/>
    <w:rsid w:val="00795852"/>
    <w:rsid w:val="00797132"/>
    <w:rsid w:val="007972F3"/>
    <w:rsid w:val="00797605"/>
    <w:rsid w:val="00797950"/>
    <w:rsid w:val="007A0004"/>
    <w:rsid w:val="007A0294"/>
    <w:rsid w:val="007A0479"/>
    <w:rsid w:val="007A0A05"/>
    <w:rsid w:val="007A1269"/>
    <w:rsid w:val="007A251E"/>
    <w:rsid w:val="007A268A"/>
    <w:rsid w:val="007A2F71"/>
    <w:rsid w:val="007A329B"/>
    <w:rsid w:val="007A5F9C"/>
    <w:rsid w:val="007A6388"/>
    <w:rsid w:val="007A6F89"/>
    <w:rsid w:val="007A77BB"/>
    <w:rsid w:val="007A7B91"/>
    <w:rsid w:val="007B0534"/>
    <w:rsid w:val="007B0906"/>
    <w:rsid w:val="007B15F4"/>
    <w:rsid w:val="007B1679"/>
    <w:rsid w:val="007B2520"/>
    <w:rsid w:val="007B516D"/>
    <w:rsid w:val="007B5544"/>
    <w:rsid w:val="007B584B"/>
    <w:rsid w:val="007B6414"/>
    <w:rsid w:val="007B7D81"/>
    <w:rsid w:val="007C021A"/>
    <w:rsid w:val="007C07F2"/>
    <w:rsid w:val="007C2500"/>
    <w:rsid w:val="007C4D8A"/>
    <w:rsid w:val="007C51CD"/>
    <w:rsid w:val="007D025A"/>
    <w:rsid w:val="007D07EF"/>
    <w:rsid w:val="007D0F6C"/>
    <w:rsid w:val="007D190E"/>
    <w:rsid w:val="007D2B50"/>
    <w:rsid w:val="007D3AB1"/>
    <w:rsid w:val="007D4C6B"/>
    <w:rsid w:val="007D6535"/>
    <w:rsid w:val="007D706B"/>
    <w:rsid w:val="007E09AC"/>
    <w:rsid w:val="007E1964"/>
    <w:rsid w:val="007E2282"/>
    <w:rsid w:val="007E24ED"/>
    <w:rsid w:val="007E2B3C"/>
    <w:rsid w:val="007E3511"/>
    <w:rsid w:val="007E39F2"/>
    <w:rsid w:val="007E436B"/>
    <w:rsid w:val="007E4A98"/>
    <w:rsid w:val="007E6EF2"/>
    <w:rsid w:val="007E71D3"/>
    <w:rsid w:val="007E7E41"/>
    <w:rsid w:val="007F0038"/>
    <w:rsid w:val="007F090E"/>
    <w:rsid w:val="007F1E4B"/>
    <w:rsid w:val="007F1E6E"/>
    <w:rsid w:val="007F2112"/>
    <w:rsid w:val="007F225F"/>
    <w:rsid w:val="007F26AB"/>
    <w:rsid w:val="007F27C4"/>
    <w:rsid w:val="007F3152"/>
    <w:rsid w:val="007F38A4"/>
    <w:rsid w:val="007F3E20"/>
    <w:rsid w:val="007F3FBC"/>
    <w:rsid w:val="007F6CA9"/>
    <w:rsid w:val="007F6E70"/>
    <w:rsid w:val="007F6EB7"/>
    <w:rsid w:val="007F6EFC"/>
    <w:rsid w:val="00801442"/>
    <w:rsid w:val="00801E7C"/>
    <w:rsid w:val="008040A5"/>
    <w:rsid w:val="00804C27"/>
    <w:rsid w:val="00804F2C"/>
    <w:rsid w:val="00805F4C"/>
    <w:rsid w:val="00805FAF"/>
    <w:rsid w:val="008060A0"/>
    <w:rsid w:val="00806C71"/>
    <w:rsid w:val="00810B8B"/>
    <w:rsid w:val="00813825"/>
    <w:rsid w:val="008143E1"/>
    <w:rsid w:val="00814911"/>
    <w:rsid w:val="00814AC3"/>
    <w:rsid w:val="00814BCA"/>
    <w:rsid w:val="00815913"/>
    <w:rsid w:val="00815C44"/>
    <w:rsid w:val="00815F1C"/>
    <w:rsid w:val="008161CC"/>
    <w:rsid w:val="008162AF"/>
    <w:rsid w:val="00816643"/>
    <w:rsid w:val="00817104"/>
    <w:rsid w:val="00817F49"/>
    <w:rsid w:val="00820DD9"/>
    <w:rsid w:val="00820F77"/>
    <w:rsid w:val="00821B58"/>
    <w:rsid w:val="00821DD6"/>
    <w:rsid w:val="0082256B"/>
    <w:rsid w:val="0082344F"/>
    <w:rsid w:val="00823F60"/>
    <w:rsid w:val="00824204"/>
    <w:rsid w:val="00824427"/>
    <w:rsid w:val="00825B5A"/>
    <w:rsid w:val="0082679B"/>
    <w:rsid w:val="008275F0"/>
    <w:rsid w:val="00827A4B"/>
    <w:rsid w:val="00830436"/>
    <w:rsid w:val="008307B9"/>
    <w:rsid w:val="008313D5"/>
    <w:rsid w:val="0083163F"/>
    <w:rsid w:val="00831E32"/>
    <w:rsid w:val="00832277"/>
    <w:rsid w:val="00833EA4"/>
    <w:rsid w:val="00833FBE"/>
    <w:rsid w:val="00834961"/>
    <w:rsid w:val="00836765"/>
    <w:rsid w:val="00836A7E"/>
    <w:rsid w:val="008378DD"/>
    <w:rsid w:val="00837CFF"/>
    <w:rsid w:val="00841C4C"/>
    <w:rsid w:val="00842B54"/>
    <w:rsid w:val="00843002"/>
    <w:rsid w:val="00843B5F"/>
    <w:rsid w:val="00844A7E"/>
    <w:rsid w:val="00845ACD"/>
    <w:rsid w:val="008460EF"/>
    <w:rsid w:val="008462E8"/>
    <w:rsid w:val="008466EA"/>
    <w:rsid w:val="00846D9A"/>
    <w:rsid w:val="0085011D"/>
    <w:rsid w:val="008503F5"/>
    <w:rsid w:val="00850743"/>
    <w:rsid w:val="008519C5"/>
    <w:rsid w:val="00851FCD"/>
    <w:rsid w:val="008529D4"/>
    <w:rsid w:val="00852AA7"/>
    <w:rsid w:val="00854A1A"/>
    <w:rsid w:val="0085555A"/>
    <w:rsid w:val="0085609C"/>
    <w:rsid w:val="00861F86"/>
    <w:rsid w:val="00862884"/>
    <w:rsid w:val="00862888"/>
    <w:rsid w:val="00863B8C"/>
    <w:rsid w:val="00865B30"/>
    <w:rsid w:val="008666C1"/>
    <w:rsid w:val="00866D8B"/>
    <w:rsid w:val="00867317"/>
    <w:rsid w:val="00867553"/>
    <w:rsid w:val="00867675"/>
    <w:rsid w:val="00867A97"/>
    <w:rsid w:val="00867CA8"/>
    <w:rsid w:val="00870785"/>
    <w:rsid w:val="00871524"/>
    <w:rsid w:val="00872401"/>
    <w:rsid w:val="00872592"/>
    <w:rsid w:val="008737B1"/>
    <w:rsid w:val="00874880"/>
    <w:rsid w:val="00875109"/>
    <w:rsid w:val="00875323"/>
    <w:rsid w:val="008755A7"/>
    <w:rsid w:val="008756F8"/>
    <w:rsid w:val="008769E9"/>
    <w:rsid w:val="00876B4B"/>
    <w:rsid w:val="008772DD"/>
    <w:rsid w:val="00880657"/>
    <w:rsid w:val="00880C66"/>
    <w:rsid w:val="00882021"/>
    <w:rsid w:val="00883242"/>
    <w:rsid w:val="0088329E"/>
    <w:rsid w:val="0088425A"/>
    <w:rsid w:val="008848AA"/>
    <w:rsid w:val="00885439"/>
    <w:rsid w:val="00885573"/>
    <w:rsid w:val="00887A9E"/>
    <w:rsid w:val="00887B6D"/>
    <w:rsid w:val="008907A6"/>
    <w:rsid w:val="008916ED"/>
    <w:rsid w:val="00891F1B"/>
    <w:rsid w:val="008944AD"/>
    <w:rsid w:val="008964B9"/>
    <w:rsid w:val="008A0AAC"/>
    <w:rsid w:val="008A190E"/>
    <w:rsid w:val="008A19A2"/>
    <w:rsid w:val="008A1C18"/>
    <w:rsid w:val="008A2568"/>
    <w:rsid w:val="008A2F69"/>
    <w:rsid w:val="008A4B98"/>
    <w:rsid w:val="008A4D83"/>
    <w:rsid w:val="008A6459"/>
    <w:rsid w:val="008A6D3E"/>
    <w:rsid w:val="008A72C9"/>
    <w:rsid w:val="008A78A8"/>
    <w:rsid w:val="008B2E0E"/>
    <w:rsid w:val="008B35B7"/>
    <w:rsid w:val="008B3A4F"/>
    <w:rsid w:val="008B5293"/>
    <w:rsid w:val="008B5404"/>
    <w:rsid w:val="008B5414"/>
    <w:rsid w:val="008B6096"/>
    <w:rsid w:val="008B62C8"/>
    <w:rsid w:val="008B645C"/>
    <w:rsid w:val="008B6F49"/>
    <w:rsid w:val="008B76E8"/>
    <w:rsid w:val="008B7714"/>
    <w:rsid w:val="008C046A"/>
    <w:rsid w:val="008C06B9"/>
    <w:rsid w:val="008C0821"/>
    <w:rsid w:val="008C2138"/>
    <w:rsid w:val="008C21DA"/>
    <w:rsid w:val="008C3AFC"/>
    <w:rsid w:val="008C47BB"/>
    <w:rsid w:val="008C4959"/>
    <w:rsid w:val="008C4C42"/>
    <w:rsid w:val="008C4F08"/>
    <w:rsid w:val="008C5A14"/>
    <w:rsid w:val="008C7013"/>
    <w:rsid w:val="008C7401"/>
    <w:rsid w:val="008C7E81"/>
    <w:rsid w:val="008D00DC"/>
    <w:rsid w:val="008D1331"/>
    <w:rsid w:val="008D1455"/>
    <w:rsid w:val="008D21C1"/>
    <w:rsid w:val="008D22AA"/>
    <w:rsid w:val="008D2A50"/>
    <w:rsid w:val="008D2C83"/>
    <w:rsid w:val="008D3764"/>
    <w:rsid w:val="008D3981"/>
    <w:rsid w:val="008D4443"/>
    <w:rsid w:val="008D6C5C"/>
    <w:rsid w:val="008D7AD5"/>
    <w:rsid w:val="008E0487"/>
    <w:rsid w:val="008E0B03"/>
    <w:rsid w:val="008E1748"/>
    <w:rsid w:val="008E20D5"/>
    <w:rsid w:val="008E307B"/>
    <w:rsid w:val="008E3E97"/>
    <w:rsid w:val="008E5E96"/>
    <w:rsid w:val="008E5F57"/>
    <w:rsid w:val="008E6168"/>
    <w:rsid w:val="008E65FA"/>
    <w:rsid w:val="008E76F9"/>
    <w:rsid w:val="008E7DBA"/>
    <w:rsid w:val="008F0AD9"/>
    <w:rsid w:val="008F2B43"/>
    <w:rsid w:val="008F2B74"/>
    <w:rsid w:val="008F3498"/>
    <w:rsid w:val="008F3878"/>
    <w:rsid w:val="008F3DFD"/>
    <w:rsid w:val="008F5879"/>
    <w:rsid w:val="008F766D"/>
    <w:rsid w:val="008F77DF"/>
    <w:rsid w:val="008F79CF"/>
    <w:rsid w:val="00900693"/>
    <w:rsid w:val="009013FF"/>
    <w:rsid w:val="00905AFB"/>
    <w:rsid w:val="00906DCA"/>
    <w:rsid w:val="00907A53"/>
    <w:rsid w:val="00910067"/>
    <w:rsid w:val="0091036B"/>
    <w:rsid w:val="00910CE2"/>
    <w:rsid w:val="00910E58"/>
    <w:rsid w:val="00911589"/>
    <w:rsid w:val="00912347"/>
    <w:rsid w:val="00914A0A"/>
    <w:rsid w:val="00915ADB"/>
    <w:rsid w:val="00916FA7"/>
    <w:rsid w:val="0091763D"/>
    <w:rsid w:val="00917FD0"/>
    <w:rsid w:val="009201C2"/>
    <w:rsid w:val="00922001"/>
    <w:rsid w:val="00924256"/>
    <w:rsid w:val="00924420"/>
    <w:rsid w:val="0092544F"/>
    <w:rsid w:val="00927FFD"/>
    <w:rsid w:val="00931300"/>
    <w:rsid w:val="009329B2"/>
    <w:rsid w:val="00934D09"/>
    <w:rsid w:val="00934D6B"/>
    <w:rsid w:val="009366C3"/>
    <w:rsid w:val="00936933"/>
    <w:rsid w:val="00937B12"/>
    <w:rsid w:val="00940727"/>
    <w:rsid w:val="00940B39"/>
    <w:rsid w:val="00941922"/>
    <w:rsid w:val="009420D8"/>
    <w:rsid w:val="0094430D"/>
    <w:rsid w:val="00945D30"/>
    <w:rsid w:val="009468E3"/>
    <w:rsid w:val="009470F9"/>
    <w:rsid w:val="00947B08"/>
    <w:rsid w:val="00951338"/>
    <w:rsid w:val="0095157D"/>
    <w:rsid w:val="00951A9F"/>
    <w:rsid w:val="00951CDE"/>
    <w:rsid w:val="00952A2E"/>
    <w:rsid w:val="0095324B"/>
    <w:rsid w:val="009547C9"/>
    <w:rsid w:val="00954E5B"/>
    <w:rsid w:val="0095507B"/>
    <w:rsid w:val="00955212"/>
    <w:rsid w:val="0095523B"/>
    <w:rsid w:val="00960CC3"/>
    <w:rsid w:val="00961302"/>
    <w:rsid w:val="00961C27"/>
    <w:rsid w:val="00961FD5"/>
    <w:rsid w:val="00962A4A"/>
    <w:rsid w:val="00962E0D"/>
    <w:rsid w:val="00964581"/>
    <w:rsid w:val="009672D1"/>
    <w:rsid w:val="00970643"/>
    <w:rsid w:val="0097070A"/>
    <w:rsid w:val="009717C1"/>
    <w:rsid w:val="00972507"/>
    <w:rsid w:val="009727BF"/>
    <w:rsid w:val="009743E2"/>
    <w:rsid w:val="00974625"/>
    <w:rsid w:val="009753C9"/>
    <w:rsid w:val="00975CFE"/>
    <w:rsid w:val="00976660"/>
    <w:rsid w:val="009772B7"/>
    <w:rsid w:val="00977EC0"/>
    <w:rsid w:val="00980121"/>
    <w:rsid w:val="00980472"/>
    <w:rsid w:val="00980623"/>
    <w:rsid w:val="00983FFF"/>
    <w:rsid w:val="00985046"/>
    <w:rsid w:val="009853D6"/>
    <w:rsid w:val="00986312"/>
    <w:rsid w:val="00986D62"/>
    <w:rsid w:val="009878BC"/>
    <w:rsid w:val="009903E2"/>
    <w:rsid w:val="009906E9"/>
    <w:rsid w:val="00990E92"/>
    <w:rsid w:val="00991195"/>
    <w:rsid w:val="00991438"/>
    <w:rsid w:val="00991B68"/>
    <w:rsid w:val="00991FC3"/>
    <w:rsid w:val="00992A7E"/>
    <w:rsid w:val="00992E68"/>
    <w:rsid w:val="00993063"/>
    <w:rsid w:val="009935A6"/>
    <w:rsid w:val="00993CA3"/>
    <w:rsid w:val="0099456B"/>
    <w:rsid w:val="009958E4"/>
    <w:rsid w:val="00995BAB"/>
    <w:rsid w:val="009960D5"/>
    <w:rsid w:val="0099657E"/>
    <w:rsid w:val="00996703"/>
    <w:rsid w:val="00996CB8"/>
    <w:rsid w:val="0099761E"/>
    <w:rsid w:val="00997F18"/>
    <w:rsid w:val="009A1B15"/>
    <w:rsid w:val="009A2BF1"/>
    <w:rsid w:val="009A2D53"/>
    <w:rsid w:val="009A2F84"/>
    <w:rsid w:val="009A530F"/>
    <w:rsid w:val="009A643E"/>
    <w:rsid w:val="009A6CA3"/>
    <w:rsid w:val="009A718E"/>
    <w:rsid w:val="009B00FB"/>
    <w:rsid w:val="009B10CE"/>
    <w:rsid w:val="009B1685"/>
    <w:rsid w:val="009B5B37"/>
    <w:rsid w:val="009B60F9"/>
    <w:rsid w:val="009B61F7"/>
    <w:rsid w:val="009B6F65"/>
    <w:rsid w:val="009B7149"/>
    <w:rsid w:val="009B7A42"/>
    <w:rsid w:val="009B7C6B"/>
    <w:rsid w:val="009C072F"/>
    <w:rsid w:val="009C3259"/>
    <w:rsid w:val="009C34E8"/>
    <w:rsid w:val="009C44D0"/>
    <w:rsid w:val="009C470A"/>
    <w:rsid w:val="009C48B6"/>
    <w:rsid w:val="009C4983"/>
    <w:rsid w:val="009C4E4E"/>
    <w:rsid w:val="009C4EF5"/>
    <w:rsid w:val="009C5B29"/>
    <w:rsid w:val="009C621C"/>
    <w:rsid w:val="009C7EDF"/>
    <w:rsid w:val="009D063C"/>
    <w:rsid w:val="009D29E9"/>
    <w:rsid w:val="009D2D40"/>
    <w:rsid w:val="009D3386"/>
    <w:rsid w:val="009D3DB6"/>
    <w:rsid w:val="009D418B"/>
    <w:rsid w:val="009D4FA1"/>
    <w:rsid w:val="009D6762"/>
    <w:rsid w:val="009D76F3"/>
    <w:rsid w:val="009E1F2D"/>
    <w:rsid w:val="009E23AE"/>
    <w:rsid w:val="009E2FBC"/>
    <w:rsid w:val="009E40C0"/>
    <w:rsid w:val="009E40C8"/>
    <w:rsid w:val="009E5ED1"/>
    <w:rsid w:val="009E5EF7"/>
    <w:rsid w:val="009E67C3"/>
    <w:rsid w:val="009E6D7C"/>
    <w:rsid w:val="009F073A"/>
    <w:rsid w:val="009F3A22"/>
    <w:rsid w:val="009F4258"/>
    <w:rsid w:val="009F5202"/>
    <w:rsid w:val="009F55E1"/>
    <w:rsid w:val="009F6BC2"/>
    <w:rsid w:val="009F6F95"/>
    <w:rsid w:val="009F769B"/>
    <w:rsid w:val="00A00DFE"/>
    <w:rsid w:val="00A01088"/>
    <w:rsid w:val="00A015C3"/>
    <w:rsid w:val="00A015DA"/>
    <w:rsid w:val="00A02174"/>
    <w:rsid w:val="00A034E1"/>
    <w:rsid w:val="00A03A7B"/>
    <w:rsid w:val="00A03AE4"/>
    <w:rsid w:val="00A04350"/>
    <w:rsid w:val="00A04C4B"/>
    <w:rsid w:val="00A05374"/>
    <w:rsid w:val="00A05F65"/>
    <w:rsid w:val="00A061CE"/>
    <w:rsid w:val="00A06AAD"/>
    <w:rsid w:val="00A07465"/>
    <w:rsid w:val="00A1119B"/>
    <w:rsid w:val="00A13FAD"/>
    <w:rsid w:val="00A14511"/>
    <w:rsid w:val="00A1490D"/>
    <w:rsid w:val="00A151C2"/>
    <w:rsid w:val="00A16D8F"/>
    <w:rsid w:val="00A20612"/>
    <w:rsid w:val="00A207F6"/>
    <w:rsid w:val="00A20B4E"/>
    <w:rsid w:val="00A221AB"/>
    <w:rsid w:val="00A222B6"/>
    <w:rsid w:val="00A23356"/>
    <w:rsid w:val="00A234B6"/>
    <w:rsid w:val="00A236EB"/>
    <w:rsid w:val="00A2397E"/>
    <w:rsid w:val="00A23F19"/>
    <w:rsid w:val="00A24E4E"/>
    <w:rsid w:val="00A25CC7"/>
    <w:rsid w:val="00A26E4F"/>
    <w:rsid w:val="00A2731B"/>
    <w:rsid w:val="00A27413"/>
    <w:rsid w:val="00A30A2E"/>
    <w:rsid w:val="00A30B9A"/>
    <w:rsid w:val="00A31426"/>
    <w:rsid w:val="00A31A2D"/>
    <w:rsid w:val="00A31BEC"/>
    <w:rsid w:val="00A3295A"/>
    <w:rsid w:val="00A337A0"/>
    <w:rsid w:val="00A35211"/>
    <w:rsid w:val="00A36A02"/>
    <w:rsid w:val="00A37C18"/>
    <w:rsid w:val="00A40213"/>
    <w:rsid w:val="00A40BFE"/>
    <w:rsid w:val="00A4104B"/>
    <w:rsid w:val="00A41394"/>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390A"/>
    <w:rsid w:val="00A64AA5"/>
    <w:rsid w:val="00A6517C"/>
    <w:rsid w:val="00A65A12"/>
    <w:rsid w:val="00A6701C"/>
    <w:rsid w:val="00A70D48"/>
    <w:rsid w:val="00A71500"/>
    <w:rsid w:val="00A72448"/>
    <w:rsid w:val="00A72545"/>
    <w:rsid w:val="00A73516"/>
    <w:rsid w:val="00A747CE"/>
    <w:rsid w:val="00A74C1D"/>
    <w:rsid w:val="00A75E18"/>
    <w:rsid w:val="00A7636B"/>
    <w:rsid w:val="00A770D9"/>
    <w:rsid w:val="00A77D5B"/>
    <w:rsid w:val="00A84E23"/>
    <w:rsid w:val="00A85844"/>
    <w:rsid w:val="00A86291"/>
    <w:rsid w:val="00A87456"/>
    <w:rsid w:val="00A87471"/>
    <w:rsid w:val="00A8770E"/>
    <w:rsid w:val="00A907DE"/>
    <w:rsid w:val="00A90FC5"/>
    <w:rsid w:val="00A938C7"/>
    <w:rsid w:val="00A95EB0"/>
    <w:rsid w:val="00A967FD"/>
    <w:rsid w:val="00A97281"/>
    <w:rsid w:val="00AA0280"/>
    <w:rsid w:val="00AA1550"/>
    <w:rsid w:val="00AA3692"/>
    <w:rsid w:val="00AA3B33"/>
    <w:rsid w:val="00AA640B"/>
    <w:rsid w:val="00AA7BEB"/>
    <w:rsid w:val="00AB05A1"/>
    <w:rsid w:val="00AB0A4D"/>
    <w:rsid w:val="00AB0BBE"/>
    <w:rsid w:val="00AB0CB2"/>
    <w:rsid w:val="00AB3F5F"/>
    <w:rsid w:val="00AB4A75"/>
    <w:rsid w:val="00AB5A67"/>
    <w:rsid w:val="00AB5A91"/>
    <w:rsid w:val="00AB6717"/>
    <w:rsid w:val="00AB7E08"/>
    <w:rsid w:val="00AC026E"/>
    <w:rsid w:val="00AC0A59"/>
    <w:rsid w:val="00AC2259"/>
    <w:rsid w:val="00AC2267"/>
    <w:rsid w:val="00AC613B"/>
    <w:rsid w:val="00AC6C28"/>
    <w:rsid w:val="00AC721F"/>
    <w:rsid w:val="00AC78CA"/>
    <w:rsid w:val="00AD1935"/>
    <w:rsid w:val="00AD1A2A"/>
    <w:rsid w:val="00AD2338"/>
    <w:rsid w:val="00AD2BDC"/>
    <w:rsid w:val="00AD3CA9"/>
    <w:rsid w:val="00AD43E2"/>
    <w:rsid w:val="00AD5C70"/>
    <w:rsid w:val="00AD5D5A"/>
    <w:rsid w:val="00AE087D"/>
    <w:rsid w:val="00AE2F37"/>
    <w:rsid w:val="00AE387D"/>
    <w:rsid w:val="00AE4A2C"/>
    <w:rsid w:val="00AE4A93"/>
    <w:rsid w:val="00AE5606"/>
    <w:rsid w:val="00AE5C23"/>
    <w:rsid w:val="00AE6B76"/>
    <w:rsid w:val="00AF1890"/>
    <w:rsid w:val="00AF1F50"/>
    <w:rsid w:val="00AF1FA0"/>
    <w:rsid w:val="00AF2984"/>
    <w:rsid w:val="00AF2B12"/>
    <w:rsid w:val="00AF317E"/>
    <w:rsid w:val="00AF35FF"/>
    <w:rsid w:val="00AF3D19"/>
    <w:rsid w:val="00AF3E34"/>
    <w:rsid w:val="00AF4BC8"/>
    <w:rsid w:val="00AF50AE"/>
    <w:rsid w:val="00AF5F1C"/>
    <w:rsid w:val="00AF6399"/>
    <w:rsid w:val="00AF6591"/>
    <w:rsid w:val="00AF6740"/>
    <w:rsid w:val="00AF6CFD"/>
    <w:rsid w:val="00AF6E96"/>
    <w:rsid w:val="00AF70D3"/>
    <w:rsid w:val="00AF754D"/>
    <w:rsid w:val="00B00A03"/>
    <w:rsid w:val="00B00DD6"/>
    <w:rsid w:val="00B00F74"/>
    <w:rsid w:val="00B01341"/>
    <w:rsid w:val="00B01463"/>
    <w:rsid w:val="00B017A1"/>
    <w:rsid w:val="00B03960"/>
    <w:rsid w:val="00B03EE4"/>
    <w:rsid w:val="00B05CAC"/>
    <w:rsid w:val="00B071E3"/>
    <w:rsid w:val="00B0799B"/>
    <w:rsid w:val="00B07CBE"/>
    <w:rsid w:val="00B07F0B"/>
    <w:rsid w:val="00B1046F"/>
    <w:rsid w:val="00B11557"/>
    <w:rsid w:val="00B123DD"/>
    <w:rsid w:val="00B127D9"/>
    <w:rsid w:val="00B12CFD"/>
    <w:rsid w:val="00B13D13"/>
    <w:rsid w:val="00B1452D"/>
    <w:rsid w:val="00B1499F"/>
    <w:rsid w:val="00B150A1"/>
    <w:rsid w:val="00B16FC9"/>
    <w:rsid w:val="00B17C6A"/>
    <w:rsid w:val="00B20966"/>
    <w:rsid w:val="00B2187B"/>
    <w:rsid w:val="00B22EE9"/>
    <w:rsid w:val="00B236EE"/>
    <w:rsid w:val="00B237E4"/>
    <w:rsid w:val="00B24CD3"/>
    <w:rsid w:val="00B255DF"/>
    <w:rsid w:val="00B2625A"/>
    <w:rsid w:val="00B2661E"/>
    <w:rsid w:val="00B26649"/>
    <w:rsid w:val="00B26D29"/>
    <w:rsid w:val="00B309B6"/>
    <w:rsid w:val="00B30D62"/>
    <w:rsid w:val="00B31D55"/>
    <w:rsid w:val="00B34707"/>
    <w:rsid w:val="00B3753F"/>
    <w:rsid w:val="00B379FC"/>
    <w:rsid w:val="00B37DFD"/>
    <w:rsid w:val="00B40DE5"/>
    <w:rsid w:val="00B4166E"/>
    <w:rsid w:val="00B42580"/>
    <w:rsid w:val="00B425FB"/>
    <w:rsid w:val="00B4286A"/>
    <w:rsid w:val="00B42BC6"/>
    <w:rsid w:val="00B47721"/>
    <w:rsid w:val="00B51375"/>
    <w:rsid w:val="00B528EA"/>
    <w:rsid w:val="00B532FD"/>
    <w:rsid w:val="00B54EFE"/>
    <w:rsid w:val="00B552D5"/>
    <w:rsid w:val="00B5592A"/>
    <w:rsid w:val="00B55BEB"/>
    <w:rsid w:val="00B60E8B"/>
    <w:rsid w:val="00B6242E"/>
    <w:rsid w:val="00B62DEA"/>
    <w:rsid w:val="00B64D66"/>
    <w:rsid w:val="00B64EA4"/>
    <w:rsid w:val="00B656D1"/>
    <w:rsid w:val="00B71156"/>
    <w:rsid w:val="00B73DF8"/>
    <w:rsid w:val="00B7445D"/>
    <w:rsid w:val="00B745CC"/>
    <w:rsid w:val="00B74EB4"/>
    <w:rsid w:val="00B763EA"/>
    <w:rsid w:val="00B81592"/>
    <w:rsid w:val="00B81B6D"/>
    <w:rsid w:val="00B856A0"/>
    <w:rsid w:val="00B85847"/>
    <w:rsid w:val="00B86EAE"/>
    <w:rsid w:val="00B87308"/>
    <w:rsid w:val="00B915C1"/>
    <w:rsid w:val="00B91B8A"/>
    <w:rsid w:val="00B936C7"/>
    <w:rsid w:val="00B93772"/>
    <w:rsid w:val="00B937ED"/>
    <w:rsid w:val="00B938C1"/>
    <w:rsid w:val="00B95292"/>
    <w:rsid w:val="00B96EBA"/>
    <w:rsid w:val="00B9781B"/>
    <w:rsid w:val="00BA0FA9"/>
    <w:rsid w:val="00BA1CA4"/>
    <w:rsid w:val="00BA2578"/>
    <w:rsid w:val="00BA30ED"/>
    <w:rsid w:val="00BA3F94"/>
    <w:rsid w:val="00BA4DF3"/>
    <w:rsid w:val="00BA5EB2"/>
    <w:rsid w:val="00BA6AF9"/>
    <w:rsid w:val="00BA6E9B"/>
    <w:rsid w:val="00BA6F24"/>
    <w:rsid w:val="00BA76D8"/>
    <w:rsid w:val="00BA79A9"/>
    <w:rsid w:val="00BB2DB1"/>
    <w:rsid w:val="00BB436D"/>
    <w:rsid w:val="00BB4553"/>
    <w:rsid w:val="00BB4E49"/>
    <w:rsid w:val="00BB52F3"/>
    <w:rsid w:val="00BB55E9"/>
    <w:rsid w:val="00BB73E9"/>
    <w:rsid w:val="00BB755E"/>
    <w:rsid w:val="00BC099D"/>
    <w:rsid w:val="00BC0E63"/>
    <w:rsid w:val="00BC1019"/>
    <w:rsid w:val="00BC1612"/>
    <w:rsid w:val="00BC19FC"/>
    <w:rsid w:val="00BC1D76"/>
    <w:rsid w:val="00BC249A"/>
    <w:rsid w:val="00BC2B4C"/>
    <w:rsid w:val="00BC4850"/>
    <w:rsid w:val="00BC4B00"/>
    <w:rsid w:val="00BC5671"/>
    <w:rsid w:val="00BC5898"/>
    <w:rsid w:val="00BC61C9"/>
    <w:rsid w:val="00BC65EE"/>
    <w:rsid w:val="00BC6C37"/>
    <w:rsid w:val="00BC7C9B"/>
    <w:rsid w:val="00BD06BF"/>
    <w:rsid w:val="00BD0C0B"/>
    <w:rsid w:val="00BD0EC5"/>
    <w:rsid w:val="00BD13AB"/>
    <w:rsid w:val="00BD2F5D"/>
    <w:rsid w:val="00BD41E7"/>
    <w:rsid w:val="00BD48DD"/>
    <w:rsid w:val="00BD65FB"/>
    <w:rsid w:val="00BD6C40"/>
    <w:rsid w:val="00BD7F07"/>
    <w:rsid w:val="00BE0163"/>
    <w:rsid w:val="00BE07AC"/>
    <w:rsid w:val="00BE07E5"/>
    <w:rsid w:val="00BE1E7E"/>
    <w:rsid w:val="00BE355B"/>
    <w:rsid w:val="00BE3867"/>
    <w:rsid w:val="00BE4B48"/>
    <w:rsid w:val="00BE4EF2"/>
    <w:rsid w:val="00BE50E9"/>
    <w:rsid w:val="00BE5733"/>
    <w:rsid w:val="00BE7B24"/>
    <w:rsid w:val="00BF0DE7"/>
    <w:rsid w:val="00BF1961"/>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1D12"/>
    <w:rsid w:val="00C02934"/>
    <w:rsid w:val="00C0295B"/>
    <w:rsid w:val="00C03257"/>
    <w:rsid w:val="00C0351C"/>
    <w:rsid w:val="00C038AD"/>
    <w:rsid w:val="00C05379"/>
    <w:rsid w:val="00C06350"/>
    <w:rsid w:val="00C06FFF"/>
    <w:rsid w:val="00C07D83"/>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5E66"/>
    <w:rsid w:val="00C26718"/>
    <w:rsid w:val="00C2775B"/>
    <w:rsid w:val="00C30026"/>
    <w:rsid w:val="00C30037"/>
    <w:rsid w:val="00C305E9"/>
    <w:rsid w:val="00C30988"/>
    <w:rsid w:val="00C3342A"/>
    <w:rsid w:val="00C3350E"/>
    <w:rsid w:val="00C34D5B"/>
    <w:rsid w:val="00C36AB6"/>
    <w:rsid w:val="00C37B4B"/>
    <w:rsid w:val="00C4036A"/>
    <w:rsid w:val="00C4113C"/>
    <w:rsid w:val="00C41A0D"/>
    <w:rsid w:val="00C41B0D"/>
    <w:rsid w:val="00C42311"/>
    <w:rsid w:val="00C43247"/>
    <w:rsid w:val="00C4380F"/>
    <w:rsid w:val="00C439AA"/>
    <w:rsid w:val="00C44916"/>
    <w:rsid w:val="00C44F0F"/>
    <w:rsid w:val="00C45CF1"/>
    <w:rsid w:val="00C4690E"/>
    <w:rsid w:val="00C46A57"/>
    <w:rsid w:val="00C4766B"/>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2232"/>
    <w:rsid w:val="00C7450A"/>
    <w:rsid w:val="00C74883"/>
    <w:rsid w:val="00C759BC"/>
    <w:rsid w:val="00C75A35"/>
    <w:rsid w:val="00C75E4C"/>
    <w:rsid w:val="00C7624A"/>
    <w:rsid w:val="00C768D1"/>
    <w:rsid w:val="00C81C68"/>
    <w:rsid w:val="00C82041"/>
    <w:rsid w:val="00C82605"/>
    <w:rsid w:val="00C82966"/>
    <w:rsid w:val="00C8428D"/>
    <w:rsid w:val="00C847C0"/>
    <w:rsid w:val="00C84DE3"/>
    <w:rsid w:val="00C85CB1"/>
    <w:rsid w:val="00C9010A"/>
    <w:rsid w:val="00C91224"/>
    <w:rsid w:val="00C94A33"/>
    <w:rsid w:val="00C94C95"/>
    <w:rsid w:val="00C950D4"/>
    <w:rsid w:val="00C952D5"/>
    <w:rsid w:val="00C9544A"/>
    <w:rsid w:val="00CA01C4"/>
    <w:rsid w:val="00CA16A2"/>
    <w:rsid w:val="00CA207B"/>
    <w:rsid w:val="00CA24CB"/>
    <w:rsid w:val="00CA3D0D"/>
    <w:rsid w:val="00CA4F5A"/>
    <w:rsid w:val="00CA54AA"/>
    <w:rsid w:val="00CA5B46"/>
    <w:rsid w:val="00CA5CFF"/>
    <w:rsid w:val="00CA66AA"/>
    <w:rsid w:val="00CA6B5E"/>
    <w:rsid w:val="00CA6CAE"/>
    <w:rsid w:val="00CB1005"/>
    <w:rsid w:val="00CB13B8"/>
    <w:rsid w:val="00CB1A2B"/>
    <w:rsid w:val="00CB2D8F"/>
    <w:rsid w:val="00CB542C"/>
    <w:rsid w:val="00CB5F37"/>
    <w:rsid w:val="00CB5F3C"/>
    <w:rsid w:val="00CB713D"/>
    <w:rsid w:val="00CC089A"/>
    <w:rsid w:val="00CC20BD"/>
    <w:rsid w:val="00CC373A"/>
    <w:rsid w:val="00CC395E"/>
    <w:rsid w:val="00CC5851"/>
    <w:rsid w:val="00CC6CF9"/>
    <w:rsid w:val="00CC79FC"/>
    <w:rsid w:val="00CD0CB6"/>
    <w:rsid w:val="00CD0FF7"/>
    <w:rsid w:val="00CD1773"/>
    <w:rsid w:val="00CD2FF6"/>
    <w:rsid w:val="00CD7050"/>
    <w:rsid w:val="00CD70A9"/>
    <w:rsid w:val="00CE13FA"/>
    <w:rsid w:val="00CE2694"/>
    <w:rsid w:val="00CE3AFD"/>
    <w:rsid w:val="00CE411E"/>
    <w:rsid w:val="00CE417C"/>
    <w:rsid w:val="00CE4789"/>
    <w:rsid w:val="00CE520B"/>
    <w:rsid w:val="00CE53AA"/>
    <w:rsid w:val="00CE6C61"/>
    <w:rsid w:val="00CE77F6"/>
    <w:rsid w:val="00CE7C68"/>
    <w:rsid w:val="00CF1114"/>
    <w:rsid w:val="00CF20CF"/>
    <w:rsid w:val="00CF2479"/>
    <w:rsid w:val="00CF248A"/>
    <w:rsid w:val="00CF337F"/>
    <w:rsid w:val="00CF3FAF"/>
    <w:rsid w:val="00CF4CF0"/>
    <w:rsid w:val="00CF5105"/>
    <w:rsid w:val="00CF6CB7"/>
    <w:rsid w:val="00CF7312"/>
    <w:rsid w:val="00D0101E"/>
    <w:rsid w:val="00D02E54"/>
    <w:rsid w:val="00D036FA"/>
    <w:rsid w:val="00D03AE3"/>
    <w:rsid w:val="00D03C6C"/>
    <w:rsid w:val="00D03FCB"/>
    <w:rsid w:val="00D05ADA"/>
    <w:rsid w:val="00D05B85"/>
    <w:rsid w:val="00D073E5"/>
    <w:rsid w:val="00D07B89"/>
    <w:rsid w:val="00D10912"/>
    <w:rsid w:val="00D10DE5"/>
    <w:rsid w:val="00D1126A"/>
    <w:rsid w:val="00D11C7E"/>
    <w:rsid w:val="00D12418"/>
    <w:rsid w:val="00D12548"/>
    <w:rsid w:val="00D126C6"/>
    <w:rsid w:val="00D12956"/>
    <w:rsid w:val="00D12F44"/>
    <w:rsid w:val="00D13C06"/>
    <w:rsid w:val="00D15282"/>
    <w:rsid w:val="00D16096"/>
    <w:rsid w:val="00D163C8"/>
    <w:rsid w:val="00D1706F"/>
    <w:rsid w:val="00D2040D"/>
    <w:rsid w:val="00D21631"/>
    <w:rsid w:val="00D2182C"/>
    <w:rsid w:val="00D22E06"/>
    <w:rsid w:val="00D23BAC"/>
    <w:rsid w:val="00D2454F"/>
    <w:rsid w:val="00D247C0"/>
    <w:rsid w:val="00D25231"/>
    <w:rsid w:val="00D256C4"/>
    <w:rsid w:val="00D2580D"/>
    <w:rsid w:val="00D25A92"/>
    <w:rsid w:val="00D25D7A"/>
    <w:rsid w:val="00D263AC"/>
    <w:rsid w:val="00D26403"/>
    <w:rsid w:val="00D26730"/>
    <w:rsid w:val="00D26DFC"/>
    <w:rsid w:val="00D3007A"/>
    <w:rsid w:val="00D30C70"/>
    <w:rsid w:val="00D31290"/>
    <w:rsid w:val="00D33B05"/>
    <w:rsid w:val="00D34518"/>
    <w:rsid w:val="00D35562"/>
    <w:rsid w:val="00D36137"/>
    <w:rsid w:val="00D36ADA"/>
    <w:rsid w:val="00D40804"/>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116B"/>
    <w:rsid w:val="00D6377A"/>
    <w:rsid w:val="00D638FD"/>
    <w:rsid w:val="00D63EE2"/>
    <w:rsid w:val="00D6534C"/>
    <w:rsid w:val="00D65D93"/>
    <w:rsid w:val="00D6742E"/>
    <w:rsid w:val="00D67A4C"/>
    <w:rsid w:val="00D708D1"/>
    <w:rsid w:val="00D7195E"/>
    <w:rsid w:val="00D71BBC"/>
    <w:rsid w:val="00D73217"/>
    <w:rsid w:val="00D73446"/>
    <w:rsid w:val="00D73FFA"/>
    <w:rsid w:val="00D747C3"/>
    <w:rsid w:val="00D74F98"/>
    <w:rsid w:val="00D75CB3"/>
    <w:rsid w:val="00D75F0B"/>
    <w:rsid w:val="00D76A0D"/>
    <w:rsid w:val="00D76BAE"/>
    <w:rsid w:val="00D771C1"/>
    <w:rsid w:val="00D771ED"/>
    <w:rsid w:val="00D7728C"/>
    <w:rsid w:val="00D77C98"/>
    <w:rsid w:val="00D77ECC"/>
    <w:rsid w:val="00D80C54"/>
    <w:rsid w:val="00D81183"/>
    <w:rsid w:val="00D817A1"/>
    <w:rsid w:val="00D819BE"/>
    <w:rsid w:val="00D81DB8"/>
    <w:rsid w:val="00D847EA"/>
    <w:rsid w:val="00D856B2"/>
    <w:rsid w:val="00D856EB"/>
    <w:rsid w:val="00D857EE"/>
    <w:rsid w:val="00D86991"/>
    <w:rsid w:val="00D9034A"/>
    <w:rsid w:val="00D90712"/>
    <w:rsid w:val="00D94027"/>
    <w:rsid w:val="00D94790"/>
    <w:rsid w:val="00D94EBE"/>
    <w:rsid w:val="00D95190"/>
    <w:rsid w:val="00D954E3"/>
    <w:rsid w:val="00D96571"/>
    <w:rsid w:val="00D96C6E"/>
    <w:rsid w:val="00D977E3"/>
    <w:rsid w:val="00DA0444"/>
    <w:rsid w:val="00DA2A5D"/>
    <w:rsid w:val="00DA2A69"/>
    <w:rsid w:val="00DA2B44"/>
    <w:rsid w:val="00DA2D2A"/>
    <w:rsid w:val="00DA303C"/>
    <w:rsid w:val="00DA37BC"/>
    <w:rsid w:val="00DA4F32"/>
    <w:rsid w:val="00DA5EE8"/>
    <w:rsid w:val="00DA6683"/>
    <w:rsid w:val="00DA6CFF"/>
    <w:rsid w:val="00DA753F"/>
    <w:rsid w:val="00DA7625"/>
    <w:rsid w:val="00DA79A9"/>
    <w:rsid w:val="00DB304A"/>
    <w:rsid w:val="00DB4920"/>
    <w:rsid w:val="00DB4A0A"/>
    <w:rsid w:val="00DB7B30"/>
    <w:rsid w:val="00DB7E60"/>
    <w:rsid w:val="00DC2EC5"/>
    <w:rsid w:val="00DC405F"/>
    <w:rsid w:val="00DC6012"/>
    <w:rsid w:val="00DC63B4"/>
    <w:rsid w:val="00DD248B"/>
    <w:rsid w:val="00DD2F95"/>
    <w:rsid w:val="00DD3320"/>
    <w:rsid w:val="00DD3D94"/>
    <w:rsid w:val="00DD488A"/>
    <w:rsid w:val="00DD75A8"/>
    <w:rsid w:val="00DD7DC6"/>
    <w:rsid w:val="00DD7F03"/>
    <w:rsid w:val="00DE064B"/>
    <w:rsid w:val="00DE1CCC"/>
    <w:rsid w:val="00DE2085"/>
    <w:rsid w:val="00DE2149"/>
    <w:rsid w:val="00DE2854"/>
    <w:rsid w:val="00DE29C2"/>
    <w:rsid w:val="00DE326A"/>
    <w:rsid w:val="00DE46BB"/>
    <w:rsid w:val="00DE47A4"/>
    <w:rsid w:val="00DE52BF"/>
    <w:rsid w:val="00DE7D00"/>
    <w:rsid w:val="00DF09E2"/>
    <w:rsid w:val="00DF17EF"/>
    <w:rsid w:val="00DF3165"/>
    <w:rsid w:val="00DF371E"/>
    <w:rsid w:val="00DF6407"/>
    <w:rsid w:val="00DF6561"/>
    <w:rsid w:val="00DF6613"/>
    <w:rsid w:val="00DF7557"/>
    <w:rsid w:val="00E002D6"/>
    <w:rsid w:val="00E029D1"/>
    <w:rsid w:val="00E02A70"/>
    <w:rsid w:val="00E03154"/>
    <w:rsid w:val="00E03500"/>
    <w:rsid w:val="00E036C4"/>
    <w:rsid w:val="00E039D5"/>
    <w:rsid w:val="00E052B7"/>
    <w:rsid w:val="00E062A4"/>
    <w:rsid w:val="00E06BA3"/>
    <w:rsid w:val="00E0784E"/>
    <w:rsid w:val="00E07AAD"/>
    <w:rsid w:val="00E10C58"/>
    <w:rsid w:val="00E10E99"/>
    <w:rsid w:val="00E1132C"/>
    <w:rsid w:val="00E1138F"/>
    <w:rsid w:val="00E1232F"/>
    <w:rsid w:val="00E1334F"/>
    <w:rsid w:val="00E1356C"/>
    <w:rsid w:val="00E144AA"/>
    <w:rsid w:val="00E150E0"/>
    <w:rsid w:val="00E15B0E"/>
    <w:rsid w:val="00E15F79"/>
    <w:rsid w:val="00E20324"/>
    <w:rsid w:val="00E20A1E"/>
    <w:rsid w:val="00E20E92"/>
    <w:rsid w:val="00E219D2"/>
    <w:rsid w:val="00E24628"/>
    <w:rsid w:val="00E2515A"/>
    <w:rsid w:val="00E26A3B"/>
    <w:rsid w:val="00E305BA"/>
    <w:rsid w:val="00E30654"/>
    <w:rsid w:val="00E30E61"/>
    <w:rsid w:val="00E316B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479D5"/>
    <w:rsid w:val="00E5062E"/>
    <w:rsid w:val="00E506BB"/>
    <w:rsid w:val="00E5247D"/>
    <w:rsid w:val="00E52D70"/>
    <w:rsid w:val="00E53B66"/>
    <w:rsid w:val="00E54064"/>
    <w:rsid w:val="00E541AE"/>
    <w:rsid w:val="00E5437D"/>
    <w:rsid w:val="00E54CB2"/>
    <w:rsid w:val="00E55284"/>
    <w:rsid w:val="00E56A34"/>
    <w:rsid w:val="00E57BB4"/>
    <w:rsid w:val="00E605CD"/>
    <w:rsid w:val="00E6062E"/>
    <w:rsid w:val="00E612F7"/>
    <w:rsid w:val="00E619D3"/>
    <w:rsid w:val="00E63F3E"/>
    <w:rsid w:val="00E65F49"/>
    <w:rsid w:val="00E66396"/>
    <w:rsid w:val="00E6655E"/>
    <w:rsid w:val="00E66D6D"/>
    <w:rsid w:val="00E66E25"/>
    <w:rsid w:val="00E70392"/>
    <w:rsid w:val="00E7159A"/>
    <w:rsid w:val="00E71846"/>
    <w:rsid w:val="00E71EF9"/>
    <w:rsid w:val="00E727BF"/>
    <w:rsid w:val="00E73B90"/>
    <w:rsid w:val="00E8003A"/>
    <w:rsid w:val="00E825C1"/>
    <w:rsid w:val="00E82641"/>
    <w:rsid w:val="00E83418"/>
    <w:rsid w:val="00E842B3"/>
    <w:rsid w:val="00E844CE"/>
    <w:rsid w:val="00E86A2A"/>
    <w:rsid w:val="00E86BD9"/>
    <w:rsid w:val="00E90E29"/>
    <w:rsid w:val="00E932E0"/>
    <w:rsid w:val="00E93A90"/>
    <w:rsid w:val="00E9419C"/>
    <w:rsid w:val="00E941A3"/>
    <w:rsid w:val="00E94720"/>
    <w:rsid w:val="00E96BBC"/>
    <w:rsid w:val="00E9750F"/>
    <w:rsid w:val="00E97DBE"/>
    <w:rsid w:val="00EA0E4A"/>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6134"/>
    <w:rsid w:val="00EC7043"/>
    <w:rsid w:val="00EC70AA"/>
    <w:rsid w:val="00EC7935"/>
    <w:rsid w:val="00EC7B7E"/>
    <w:rsid w:val="00EC7C11"/>
    <w:rsid w:val="00ED07EC"/>
    <w:rsid w:val="00ED0870"/>
    <w:rsid w:val="00ED3627"/>
    <w:rsid w:val="00ED47E6"/>
    <w:rsid w:val="00ED4D3D"/>
    <w:rsid w:val="00ED5903"/>
    <w:rsid w:val="00ED5D1C"/>
    <w:rsid w:val="00ED5F6D"/>
    <w:rsid w:val="00ED6B63"/>
    <w:rsid w:val="00ED76A6"/>
    <w:rsid w:val="00ED7861"/>
    <w:rsid w:val="00ED7C09"/>
    <w:rsid w:val="00ED7D7E"/>
    <w:rsid w:val="00ED7DF6"/>
    <w:rsid w:val="00EE1FA3"/>
    <w:rsid w:val="00EE31D6"/>
    <w:rsid w:val="00EE3968"/>
    <w:rsid w:val="00EE3D3C"/>
    <w:rsid w:val="00EE403C"/>
    <w:rsid w:val="00EE4DF3"/>
    <w:rsid w:val="00EE7662"/>
    <w:rsid w:val="00EE78A6"/>
    <w:rsid w:val="00EF0EC7"/>
    <w:rsid w:val="00EF2BA0"/>
    <w:rsid w:val="00EF2F36"/>
    <w:rsid w:val="00EF3F9D"/>
    <w:rsid w:val="00EF66C3"/>
    <w:rsid w:val="00EF6D0B"/>
    <w:rsid w:val="00EF6F01"/>
    <w:rsid w:val="00F00265"/>
    <w:rsid w:val="00F0186C"/>
    <w:rsid w:val="00F024CC"/>
    <w:rsid w:val="00F02534"/>
    <w:rsid w:val="00F04767"/>
    <w:rsid w:val="00F05BBE"/>
    <w:rsid w:val="00F061E5"/>
    <w:rsid w:val="00F06642"/>
    <w:rsid w:val="00F06D0B"/>
    <w:rsid w:val="00F0728A"/>
    <w:rsid w:val="00F07413"/>
    <w:rsid w:val="00F07551"/>
    <w:rsid w:val="00F10D1D"/>
    <w:rsid w:val="00F10FD5"/>
    <w:rsid w:val="00F1146E"/>
    <w:rsid w:val="00F12857"/>
    <w:rsid w:val="00F13BA3"/>
    <w:rsid w:val="00F13CC8"/>
    <w:rsid w:val="00F141CD"/>
    <w:rsid w:val="00F14EA0"/>
    <w:rsid w:val="00F17A76"/>
    <w:rsid w:val="00F2185C"/>
    <w:rsid w:val="00F22A4D"/>
    <w:rsid w:val="00F23C75"/>
    <w:rsid w:val="00F24374"/>
    <w:rsid w:val="00F24E57"/>
    <w:rsid w:val="00F2715F"/>
    <w:rsid w:val="00F30232"/>
    <w:rsid w:val="00F31071"/>
    <w:rsid w:val="00F32903"/>
    <w:rsid w:val="00F333B3"/>
    <w:rsid w:val="00F33DC6"/>
    <w:rsid w:val="00F346B9"/>
    <w:rsid w:val="00F34C81"/>
    <w:rsid w:val="00F34D33"/>
    <w:rsid w:val="00F34FEC"/>
    <w:rsid w:val="00F35C9D"/>
    <w:rsid w:val="00F36ACF"/>
    <w:rsid w:val="00F36EC8"/>
    <w:rsid w:val="00F37264"/>
    <w:rsid w:val="00F3794B"/>
    <w:rsid w:val="00F4099A"/>
    <w:rsid w:val="00F40F12"/>
    <w:rsid w:val="00F41116"/>
    <w:rsid w:val="00F419D0"/>
    <w:rsid w:val="00F41AE2"/>
    <w:rsid w:val="00F424BA"/>
    <w:rsid w:val="00F42FE2"/>
    <w:rsid w:val="00F43A41"/>
    <w:rsid w:val="00F4436D"/>
    <w:rsid w:val="00F44ADB"/>
    <w:rsid w:val="00F45652"/>
    <w:rsid w:val="00F4613D"/>
    <w:rsid w:val="00F4731D"/>
    <w:rsid w:val="00F47929"/>
    <w:rsid w:val="00F50F86"/>
    <w:rsid w:val="00F51851"/>
    <w:rsid w:val="00F51E39"/>
    <w:rsid w:val="00F5214B"/>
    <w:rsid w:val="00F5365E"/>
    <w:rsid w:val="00F543FA"/>
    <w:rsid w:val="00F55C68"/>
    <w:rsid w:val="00F56048"/>
    <w:rsid w:val="00F5660C"/>
    <w:rsid w:val="00F578E1"/>
    <w:rsid w:val="00F61DBB"/>
    <w:rsid w:val="00F6520E"/>
    <w:rsid w:val="00F65FDF"/>
    <w:rsid w:val="00F666EB"/>
    <w:rsid w:val="00F67832"/>
    <w:rsid w:val="00F70822"/>
    <w:rsid w:val="00F720A6"/>
    <w:rsid w:val="00F726CD"/>
    <w:rsid w:val="00F730BF"/>
    <w:rsid w:val="00F7344F"/>
    <w:rsid w:val="00F75C23"/>
    <w:rsid w:val="00F761A6"/>
    <w:rsid w:val="00F768CC"/>
    <w:rsid w:val="00F76E6E"/>
    <w:rsid w:val="00F771F6"/>
    <w:rsid w:val="00F777FC"/>
    <w:rsid w:val="00F779AA"/>
    <w:rsid w:val="00F81076"/>
    <w:rsid w:val="00F81707"/>
    <w:rsid w:val="00F82397"/>
    <w:rsid w:val="00F84531"/>
    <w:rsid w:val="00F846E0"/>
    <w:rsid w:val="00F848AD"/>
    <w:rsid w:val="00F85AA7"/>
    <w:rsid w:val="00F871CF"/>
    <w:rsid w:val="00F872C5"/>
    <w:rsid w:val="00F87BEC"/>
    <w:rsid w:val="00F87DF0"/>
    <w:rsid w:val="00F91C11"/>
    <w:rsid w:val="00F91D74"/>
    <w:rsid w:val="00F92118"/>
    <w:rsid w:val="00F9309F"/>
    <w:rsid w:val="00F935BD"/>
    <w:rsid w:val="00F93F0D"/>
    <w:rsid w:val="00F944FF"/>
    <w:rsid w:val="00F96625"/>
    <w:rsid w:val="00F96670"/>
    <w:rsid w:val="00F97728"/>
    <w:rsid w:val="00FA03BD"/>
    <w:rsid w:val="00FA04B6"/>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830"/>
    <w:rsid w:val="00FC2A1B"/>
    <w:rsid w:val="00FC33FC"/>
    <w:rsid w:val="00FC3B69"/>
    <w:rsid w:val="00FC537B"/>
    <w:rsid w:val="00FC5F75"/>
    <w:rsid w:val="00FC6CD7"/>
    <w:rsid w:val="00FC6EF3"/>
    <w:rsid w:val="00FC7DB6"/>
    <w:rsid w:val="00FD0173"/>
    <w:rsid w:val="00FD0B0E"/>
    <w:rsid w:val="00FD1A32"/>
    <w:rsid w:val="00FD26A0"/>
    <w:rsid w:val="00FD4052"/>
    <w:rsid w:val="00FD496E"/>
    <w:rsid w:val="00FD4DC5"/>
    <w:rsid w:val="00FD548F"/>
    <w:rsid w:val="00FD693D"/>
    <w:rsid w:val="00FD756F"/>
    <w:rsid w:val="00FE01F0"/>
    <w:rsid w:val="00FE0634"/>
    <w:rsid w:val="00FE35D2"/>
    <w:rsid w:val="00FE443D"/>
    <w:rsid w:val="00FE450E"/>
    <w:rsid w:val="00FE5424"/>
    <w:rsid w:val="00FE550E"/>
    <w:rsid w:val="00FE694C"/>
    <w:rsid w:val="00FF110E"/>
    <w:rsid w:val="00FF1C5F"/>
    <w:rsid w:val="00FF2443"/>
    <w:rsid w:val="00FF29A2"/>
    <w:rsid w:val="00FF3C2C"/>
    <w:rsid w:val="00FF40BD"/>
    <w:rsid w:val="00FF4518"/>
    <w:rsid w:val="00FF4603"/>
    <w:rsid w:val="00FF4921"/>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220C03"/>
  <w15:docId w15:val="{126C690A-4DBD-4949-A75C-24E530CB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961"/>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A151C2"/>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uiPriority w:val="4"/>
    <w:qFormat/>
    <w:rsid w:val="00A151C2"/>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151C2"/>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A151C2"/>
    <w:pPr>
      <w:keepNext/>
      <w:keepLines/>
      <w:numPr>
        <w:ilvl w:val="3"/>
        <w:numId w:val="14"/>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151C2"/>
    <w:pPr>
      <w:keepNext/>
      <w:keepLines/>
      <w:numPr>
        <w:ilvl w:val="4"/>
        <w:numId w:val="14"/>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151C2"/>
    <w:pPr>
      <w:keepNext/>
      <w:keepLines/>
      <w:numPr>
        <w:ilvl w:val="5"/>
        <w:numId w:val="14"/>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151C2"/>
    <w:pPr>
      <w:keepNext/>
      <w:keepLines/>
      <w:numPr>
        <w:ilvl w:val="6"/>
        <w:numId w:val="14"/>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151C2"/>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151C2"/>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F19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961"/>
  </w:style>
  <w:style w:type="paragraph" w:customStyle="1" w:styleId="TableColumnHeading">
    <w:name w:val="Table Column Heading"/>
    <w:basedOn w:val="BodyText"/>
    <w:uiPriority w:val="7"/>
    <w:qFormat/>
    <w:rsid w:val="00A151C2"/>
    <w:pPr>
      <w:spacing w:before="60" w:after="60"/>
    </w:pPr>
    <w:rPr>
      <w:b/>
      <w:bCs/>
    </w:rPr>
  </w:style>
  <w:style w:type="paragraph" w:styleId="Footer">
    <w:name w:val="footer"/>
    <w:basedOn w:val="Normal"/>
    <w:link w:val="FooterChar"/>
    <w:uiPriority w:val="99"/>
    <w:unhideWhenUsed/>
    <w:rsid w:val="00385BCF"/>
    <w:pPr>
      <w:tabs>
        <w:tab w:val="center" w:pos="4513"/>
        <w:tab w:val="right" w:pos="9026"/>
      </w:tabs>
      <w:spacing w:after="0"/>
    </w:pPr>
  </w:style>
  <w:style w:type="character" w:customStyle="1" w:styleId="FooterChar">
    <w:name w:val="Footer Char"/>
    <w:basedOn w:val="DefaultParagraphFont"/>
    <w:link w:val="Footer"/>
    <w:uiPriority w:val="99"/>
    <w:rsid w:val="00385BCF"/>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151C2"/>
    <w:pPr>
      <w:jc w:val="right"/>
    </w:pPr>
  </w:style>
  <w:style w:type="paragraph" w:customStyle="1" w:styleId="PageTitle">
    <w:name w:val="Page Title"/>
    <w:basedOn w:val="Normal"/>
    <w:next w:val="BodyText"/>
    <w:uiPriority w:val="3"/>
    <w:qFormat/>
    <w:rsid w:val="00A151C2"/>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151C2"/>
    <w:pPr>
      <w:jc w:val="right"/>
    </w:pPr>
  </w:style>
  <w:style w:type="character" w:customStyle="1" w:styleId="Bold">
    <w:name w:val="Bold"/>
    <w:basedOn w:val="DefaultParagraphFont"/>
    <w:uiPriority w:val="2"/>
    <w:qFormat/>
    <w:rsid w:val="00A151C2"/>
    <w:rPr>
      <w:rFonts w:ascii="Poppins" w:hAnsi="Poppins"/>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A151C2"/>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151C2"/>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151C2"/>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semiHidden/>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151C2"/>
    <w:rPr>
      <w:rFonts w:ascii="Poppins" w:hAnsi="Poppins"/>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151C2"/>
    <w:rPr>
      <w:rFonts w:ascii="Poppins" w:eastAsiaTheme="majorEastAsia" w:hAnsi="Poppins"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151C2"/>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A151C2"/>
    <w:pPr>
      <w:numPr>
        <w:numId w:val="15"/>
      </w:numPr>
    </w:pPr>
  </w:style>
  <w:style w:type="paragraph" w:customStyle="1" w:styleId="Bullet2">
    <w:name w:val="Bullet 2"/>
    <w:basedOn w:val="BodyText"/>
    <w:uiPriority w:val="1"/>
    <w:qFormat/>
    <w:rsid w:val="00A151C2"/>
    <w:pPr>
      <w:numPr>
        <w:numId w:val="16"/>
      </w:numPr>
    </w:pPr>
  </w:style>
  <w:style w:type="paragraph" w:customStyle="1" w:styleId="Bullet3">
    <w:name w:val="Bullet 3"/>
    <w:basedOn w:val="BodyText"/>
    <w:uiPriority w:val="1"/>
    <w:qFormat/>
    <w:rsid w:val="00A151C2"/>
    <w:pPr>
      <w:numPr>
        <w:numId w:val="17"/>
      </w:numPr>
    </w:pPr>
  </w:style>
  <w:style w:type="paragraph" w:customStyle="1" w:styleId="NumberedBullet1">
    <w:name w:val="Numbered Bullet 1"/>
    <w:basedOn w:val="BodyText"/>
    <w:uiPriority w:val="5"/>
    <w:qFormat/>
    <w:rsid w:val="00A151C2"/>
    <w:pPr>
      <w:numPr>
        <w:numId w:val="18"/>
      </w:numPr>
      <w:spacing w:before="60" w:after="60"/>
    </w:pPr>
  </w:style>
  <w:style w:type="paragraph" w:customStyle="1" w:styleId="NumberedBullet2">
    <w:name w:val="Numbered Bullet 2"/>
    <w:basedOn w:val="BodyText"/>
    <w:uiPriority w:val="5"/>
    <w:qFormat/>
    <w:rsid w:val="00A151C2"/>
    <w:pPr>
      <w:numPr>
        <w:ilvl w:val="1"/>
        <w:numId w:val="18"/>
      </w:numPr>
      <w:tabs>
        <w:tab w:val="left" w:pos="709"/>
      </w:tabs>
    </w:pPr>
  </w:style>
  <w:style w:type="paragraph" w:customStyle="1" w:styleId="NumberedBullet3">
    <w:name w:val="Numbered Bullet 3"/>
    <w:basedOn w:val="BodyText"/>
    <w:uiPriority w:val="5"/>
    <w:qFormat/>
    <w:rsid w:val="00A151C2"/>
    <w:pPr>
      <w:numPr>
        <w:ilvl w:val="2"/>
        <w:numId w:val="18"/>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151C2"/>
    <w:pPr>
      <w:ind w:left="284"/>
    </w:pPr>
  </w:style>
  <w:style w:type="paragraph" w:customStyle="1" w:styleId="Indent2">
    <w:name w:val="Indent 2"/>
    <w:basedOn w:val="BodyText"/>
    <w:uiPriority w:val="6"/>
    <w:semiHidden/>
    <w:unhideWhenUsed/>
    <w:qFormat/>
    <w:rsid w:val="00A151C2"/>
    <w:pPr>
      <w:ind w:left="567"/>
    </w:pPr>
  </w:style>
  <w:style w:type="paragraph" w:customStyle="1" w:styleId="Indent3">
    <w:name w:val="Indent 3"/>
    <w:basedOn w:val="BodyText"/>
    <w:uiPriority w:val="6"/>
    <w:semiHidden/>
    <w:unhideWhenUsed/>
    <w:qFormat/>
    <w:rsid w:val="00A151C2"/>
    <w:pPr>
      <w:ind w:left="851"/>
    </w:pPr>
  </w:style>
  <w:style w:type="paragraph" w:customStyle="1" w:styleId="ShadedHeading">
    <w:name w:val="Shaded Heading"/>
    <w:basedOn w:val="BodyText"/>
    <w:next w:val="ShadedBody"/>
    <w:uiPriority w:val="10"/>
    <w:rsid w:val="00AB5A91"/>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151C2"/>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151C2"/>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151C2"/>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151C2"/>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151C2"/>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A151C2"/>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151C2"/>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151C2"/>
    <w:rPr>
      <w:b/>
    </w:rPr>
  </w:style>
  <w:style w:type="character" w:customStyle="1" w:styleId="HighlightAccent4">
    <w:name w:val="Highlight Accent 4"/>
    <w:basedOn w:val="DefaultParagraphFont"/>
    <w:uiPriority w:val="9"/>
    <w:qFormat/>
    <w:rsid w:val="00A151C2"/>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151C2"/>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151C2"/>
    <w:rPr>
      <w:rFonts w:ascii="Poppins" w:hAnsi="Poppins"/>
      <w:color w:val="000000" w:themeColor="text1"/>
      <w:bdr w:val="none" w:sz="0" w:space="0" w:color="auto"/>
      <w:shd w:val="clear" w:color="auto" w:fill="E8A4A1" w:themeFill="accent6" w:themeFillTint="66"/>
    </w:rPr>
  </w:style>
  <w:style w:type="table" w:customStyle="1" w:styleId="NESO">
    <w:name w:val="NESO"/>
    <w:basedOn w:val="TableNormal"/>
    <w:uiPriority w:val="99"/>
    <w:rsid w:val="00385BCF"/>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5"/>
    <w:qFormat/>
    <w:rsid w:val="00A151C2"/>
    <w:pPr>
      <w:ind w:left="720"/>
      <w:contextualSpacing/>
    </w:pPr>
  </w:style>
  <w:style w:type="paragraph" w:customStyle="1" w:styleId="Heading1Numbered">
    <w:name w:val="Heading 1 Numbered"/>
    <w:basedOn w:val="Heading1"/>
    <w:next w:val="BodyText"/>
    <w:uiPriority w:val="4"/>
    <w:qFormat/>
    <w:rsid w:val="00A151C2"/>
    <w:pPr>
      <w:numPr>
        <w:numId w:val="19"/>
      </w:numPr>
    </w:pPr>
  </w:style>
  <w:style w:type="character" w:customStyle="1" w:styleId="HighlightAccent2">
    <w:name w:val="Highlight Accent 2"/>
    <w:basedOn w:val="DefaultParagraphFont"/>
    <w:uiPriority w:val="9"/>
    <w:qFormat/>
    <w:rsid w:val="00A151C2"/>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rPr>
  </w:style>
  <w:style w:type="paragraph" w:styleId="TOC1">
    <w:name w:val="toc 1"/>
    <w:basedOn w:val="Normal"/>
    <w:next w:val="Normal"/>
    <w:autoRedefine/>
    <w:uiPriority w:val="39"/>
    <w:rsid w:val="00385BCF"/>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A151C2"/>
    <w:rPr>
      <w:color w:val="3F0731" w:themeColor="text2"/>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A151C2"/>
    <w:rPr>
      <w:rFonts w:ascii="Poppins" w:hAnsi="Poppins"/>
      <w:color w:val="000000" w:themeColor="text1"/>
      <w:lang w:val="en-GB"/>
    </w:rPr>
  </w:style>
  <w:style w:type="character" w:customStyle="1" w:styleId="BodyTextChar">
    <w:name w:val="Body Text Char"/>
    <w:basedOn w:val="DefaultParagraphFont"/>
    <w:link w:val="BodyText"/>
    <w:rsid w:val="00A151C2"/>
    <w:rPr>
      <w:rFonts w:ascii="Poppins" w:hAnsi="Poppins"/>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A151C2"/>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A151C2"/>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151C2"/>
    <w:pPr>
      <w:spacing w:after="0"/>
    </w:pPr>
  </w:style>
  <w:style w:type="paragraph" w:customStyle="1" w:styleId="Backcoverdisclaimer">
    <w:name w:val="Back cover disclaimer"/>
    <w:basedOn w:val="Footer"/>
    <w:uiPriority w:val="99"/>
    <w:qFormat/>
    <w:rsid w:val="00A151C2"/>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151C2"/>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151C2"/>
    <w:pPr>
      <w:framePr w:w="10038" w:wrap="notBeside" w:vAnchor="page" w:hAnchor="page" w:x="397" w:y="14053" w:anchorLock="1"/>
      <w:numPr>
        <w:numId w:val="20"/>
      </w:numPr>
      <w:spacing w:after="120" w:line="240" w:lineRule="auto"/>
      <w:ind w:right="306"/>
    </w:pPr>
    <w:rPr>
      <w:b/>
      <w:bCs/>
      <w:color w:val="000000" w:themeColor="text1"/>
      <w:sz w:val="56"/>
    </w:rPr>
  </w:style>
  <w:style w:type="paragraph" w:customStyle="1" w:styleId="SectionSubtitle">
    <w:name w:val="Section Subtitle"/>
    <w:basedOn w:val="Normal"/>
    <w:uiPriority w:val="99"/>
    <w:qFormat/>
    <w:rsid w:val="00A151C2"/>
    <w:pPr>
      <w:framePr w:w="10038" w:wrap="notBeside" w:vAnchor="page" w:hAnchor="page" w:x="1140" w:y="13885" w:anchorLock="1"/>
      <w:spacing w:after="120"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151C2"/>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151C2"/>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151C2"/>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lang w:eastAsia="en-GB"/>
    </w:rPr>
  </w:style>
  <w:style w:type="paragraph" w:styleId="Subtitle">
    <w:name w:val="Subtitle"/>
    <w:basedOn w:val="Normal"/>
    <w:next w:val="Normal"/>
    <w:link w:val="SubtitleChar"/>
    <w:uiPriority w:val="25"/>
    <w:qFormat/>
    <w:rsid w:val="00A151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151C2"/>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151C2"/>
    <w:pPr>
      <w:spacing w:before="160"/>
      <w:jc w:val="center"/>
    </w:pPr>
    <w:rPr>
      <w:i/>
      <w:iCs/>
      <w:color w:val="404040" w:themeColor="text1" w:themeTint="BF"/>
    </w:rPr>
  </w:style>
  <w:style w:type="character" w:customStyle="1" w:styleId="QuoteChar">
    <w:name w:val="Quote Char"/>
    <w:basedOn w:val="DefaultParagraphFont"/>
    <w:link w:val="Quote"/>
    <w:uiPriority w:val="30"/>
    <w:rsid w:val="00A151C2"/>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151C2"/>
    <w:rPr>
      <w:i/>
      <w:iCs/>
      <w:color w:val="2F0524" w:themeColor="accent1" w:themeShade="BF"/>
    </w:rPr>
  </w:style>
  <w:style w:type="character" w:styleId="IntenseReference">
    <w:name w:val="Intense Reference"/>
    <w:basedOn w:val="DefaultParagraphFont"/>
    <w:uiPriority w:val="33"/>
    <w:qFormat/>
    <w:rsid w:val="00A151C2"/>
    <w:rPr>
      <w:b/>
      <w:bCs/>
      <w:smallCaps/>
      <w:color w:val="2F0524" w:themeColor="accent1" w:themeShade="BF"/>
      <w:spacing w:val="5"/>
    </w:rPr>
  </w:style>
  <w:style w:type="paragraph" w:styleId="Caption">
    <w:name w:val="caption"/>
    <w:basedOn w:val="Normal"/>
    <w:next w:val="Normal"/>
    <w:uiPriority w:val="36"/>
    <w:semiHidden/>
    <w:qFormat/>
    <w:rsid w:val="00A151C2"/>
    <w:pPr>
      <w:spacing w:after="200" w:line="240" w:lineRule="auto"/>
    </w:pPr>
    <w:rPr>
      <w:i/>
      <w:iCs/>
      <w:color w:val="3F0731" w:themeColor="text2"/>
      <w:sz w:val="18"/>
      <w:szCs w:val="18"/>
    </w:rPr>
  </w:style>
  <w:style w:type="character" w:styleId="Strong">
    <w:name w:val="Strong"/>
    <w:basedOn w:val="DefaultParagraphFont"/>
    <w:uiPriority w:val="29"/>
    <w:semiHidden/>
    <w:qFormat/>
    <w:rsid w:val="00A151C2"/>
    <w:rPr>
      <w:b/>
      <w:bCs/>
    </w:rPr>
  </w:style>
  <w:style w:type="character" w:styleId="SubtleEmphasis">
    <w:name w:val="Subtle Emphasis"/>
    <w:basedOn w:val="DefaultParagraphFont"/>
    <w:uiPriority w:val="26"/>
    <w:semiHidden/>
    <w:qFormat/>
    <w:rsid w:val="00A151C2"/>
    <w:rPr>
      <w:i/>
      <w:iCs/>
      <w:color w:val="404040" w:themeColor="text1" w:themeTint="BF"/>
    </w:rPr>
  </w:style>
  <w:style w:type="character" w:styleId="SubtleReference">
    <w:name w:val="Subtle Reference"/>
    <w:basedOn w:val="DefaultParagraphFont"/>
    <w:uiPriority w:val="32"/>
    <w:semiHidden/>
    <w:qFormat/>
    <w:rsid w:val="00A151C2"/>
    <w:rPr>
      <w:smallCaps/>
      <w:color w:val="5A5A5A" w:themeColor="text1" w:themeTint="A5"/>
    </w:rPr>
  </w:style>
  <w:style w:type="character" w:styleId="BookTitle">
    <w:name w:val="Book Title"/>
    <w:basedOn w:val="DefaultParagraphFont"/>
    <w:uiPriority w:val="34"/>
    <w:semiHidden/>
    <w:qFormat/>
    <w:rsid w:val="00A151C2"/>
    <w:rPr>
      <w:b/>
      <w:bCs/>
      <w:i/>
      <w:iCs/>
      <w:spacing w:val="5"/>
    </w:rPr>
  </w:style>
  <w:style w:type="table" w:styleId="GridTable4-Accent2">
    <w:name w:val="Grid Table 4 Accent 2"/>
    <w:basedOn w:val="TableNormal"/>
    <w:uiPriority w:val="49"/>
    <w:rsid w:val="008E20D5"/>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table" w:styleId="GridTable1Light-Accent2">
    <w:name w:val="Grid Table 1 Light Accent 2"/>
    <w:basedOn w:val="TableNormal"/>
    <w:uiPriority w:val="46"/>
    <w:rsid w:val="002F3E25"/>
    <w:pPr>
      <w:spacing w:after="0"/>
    </w:pPr>
    <w:tblPr>
      <w:tblStyleRowBandSize w:val="1"/>
      <w:tblStyleColBandSize w:val="1"/>
      <w:tblBorders>
        <w:top w:val="single" w:sz="4" w:space="0" w:color="D5A3C4" w:themeColor="accent2" w:themeTint="66"/>
        <w:left w:val="single" w:sz="4" w:space="0" w:color="D5A3C4" w:themeColor="accent2" w:themeTint="66"/>
        <w:bottom w:val="single" w:sz="4" w:space="0" w:color="D5A3C4" w:themeColor="accent2" w:themeTint="66"/>
        <w:right w:val="single" w:sz="4" w:space="0" w:color="D5A3C4" w:themeColor="accent2" w:themeTint="66"/>
        <w:insideH w:val="single" w:sz="4" w:space="0" w:color="D5A3C4" w:themeColor="accent2" w:themeTint="66"/>
        <w:insideV w:val="single" w:sz="4" w:space="0" w:color="D5A3C4" w:themeColor="accent2" w:themeTint="66"/>
      </w:tblBorders>
    </w:tblPr>
    <w:tblStylePr w:type="firstRow">
      <w:rPr>
        <w:b/>
        <w:bCs/>
      </w:rPr>
      <w:tblPr/>
      <w:tcPr>
        <w:tcBorders>
          <w:bottom w:val="single" w:sz="12" w:space="0" w:color="C076A7" w:themeColor="accent2" w:themeTint="99"/>
        </w:tcBorders>
      </w:tcPr>
    </w:tblStylePr>
    <w:tblStylePr w:type="lastRow">
      <w:rPr>
        <w:b/>
        <w:bCs/>
      </w:rPr>
      <w:tblPr/>
      <w:tcPr>
        <w:tcBorders>
          <w:top w:val="double" w:sz="2" w:space="0" w:color="C076A7"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39978459">
      <w:bodyDiv w:val="1"/>
      <w:marLeft w:val="0"/>
      <w:marRight w:val="0"/>
      <w:marTop w:val="0"/>
      <w:marBottom w:val="0"/>
      <w:divBdr>
        <w:top w:val="none" w:sz="0" w:space="0" w:color="auto"/>
        <w:left w:val="none" w:sz="0" w:space="0" w:color="auto"/>
        <w:bottom w:val="none" w:sz="0" w:space="0" w:color="auto"/>
        <w:right w:val="none" w:sz="0" w:space="0" w:color="auto"/>
      </w:divBdr>
    </w:div>
    <w:div w:id="63380643">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74199280">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267322895">
      <w:bodyDiv w:val="1"/>
      <w:marLeft w:val="0"/>
      <w:marRight w:val="0"/>
      <w:marTop w:val="0"/>
      <w:marBottom w:val="0"/>
      <w:divBdr>
        <w:top w:val="none" w:sz="0" w:space="0" w:color="auto"/>
        <w:left w:val="none" w:sz="0" w:space="0" w:color="auto"/>
        <w:bottom w:val="none" w:sz="0" w:space="0" w:color="auto"/>
        <w:right w:val="none" w:sz="0" w:space="0" w:color="auto"/>
      </w:divBdr>
      <w:divsChild>
        <w:div w:id="717582331">
          <w:marLeft w:val="360"/>
          <w:marRight w:val="0"/>
          <w:marTop w:val="200"/>
          <w:marBottom w:val="0"/>
          <w:divBdr>
            <w:top w:val="none" w:sz="0" w:space="0" w:color="auto"/>
            <w:left w:val="none" w:sz="0" w:space="0" w:color="auto"/>
            <w:bottom w:val="none" w:sz="0" w:space="0" w:color="auto"/>
            <w:right w:val="none" w:sz="0" w:space="0" w:color="auto"/>
          </w:divBdr>
        </w:div>
      </w:divsChild>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527912816">
      <w:bodyDiv w:val="1"/>
      <w:marLeft w:val="0"/>
      <w:marRight w:val="0"/>
      <w:marTop w:val="0"/>
      <w:marBottom w:val="0"/>
      <w:divBdr>
        <w:top w:val="none" w:sz="0" w:space="0" w:color="auto"/>
        <w:left w:val="none" w:sz="0" w:space="0" w:color="auto"/>
        <w:bottom w:val="none" w:sz="0" w:space="0" w:color="auto"/>
        <w:right w:val="none" w:sz="0" w:space="0" w:color="auto"/>
      </w:divBdr>
      <w:divsChild>
        <w:div w:id="402458445">
          <w:marLeft w:val="360"/>
          <w:marRight w:val="0"/>
          <w:marTop w:val="200"/>
          <w:marBottom w:val="0"/>
          <w:divBdr>
            <w:top w:val="none" w:sz="0" w:space="0" w:color="auto"/>
            <w:left w:val="none" w:sz="0" w:space="0" w:color="auto"/>
            <w:bottom w:val="none" w:sz="0" w:space="0" w:color="auto"/>
            <w:right w:val="none" w:sz="0" w:space="0" w:color="auto"/>
          </w:divBdr>
        </w:div>
      </w:divsChild>
    </w:div>
    <w:div w:id="662318323">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58646677">
      <w:bodyDiv w:val="1"/>
      <w:marLeft w:val="0"/>
      <w:marRight w:val="0"/>
      <w:marTop w:val="0"/>
      <w:marBottom w:val="0"/>
      <w:divBdr>
        <w:top w:val="none" w:sz="0" w:space="0" w:color="auto"/>
        <w:left w:val="none" w:sz="0" w:space="0" w:color="auto"/>
        <w:bottom w:val="none" w:sz="0" w:space="0" w:color="auto"/>
        <w:right w:val="none" w:sz="0" w:space="0" w:color="auto"/>
      </w:divBdr>
    </w:div>
    <w:div w:id="853569522">
      <w:bodyDiv w:val="1"/>
      <w:marLeft w:val="0"/>
      <w:marRight w:val="0"/>
      <w:marTop w:val="0"/>
      <w:marBottom w:val="0"/>
      <w:divBdr>
        <w:top w:val="none" w:sz="0" w:space="0" w:color="auto"/>
        <w:left w:val="none" w:sz="0" w:space="0" w:color="auto"/>
        <w:bottom w:val="none" w:sz="0" w:space="0" w:color="auto"/>
        <w:right w:val="none" w:sz="0" w:space="0" w:color="auto"/>
      </w:divBdr>
      <w:divsChild>
        <w:div w:id="1006324289">
          <w:marLeft w:val="360"/>
          <w:marRight w:val="0"/>
          <w:marTop w:val="200"/>
          <w:marBottom w:val="0"/>
          <w:divBdr>
            <w:top w:val="none" w:sz="0" w:space="0" w:color="auto"/>
            <w:left w:val="none" w:sz="0" w:space="0" w:color="auto"/>
            <w:bottom w:val="none" w:sz="0" w:space="0" w:color="auto"/>
            <w:right w:val="none" w:sz="0" w:space="0" w:color="auto"/>
          </w:divBdr>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93535418">
      <w:bodyDiv w:val="1"/>
      <w:marLeft w:val="0"/>
      <w:marRight w:val="0"/>
      <w:marTop w:val="0"/>
      <w:marBottom w:val="0"/>
      <w:divBdr>
        <w:top w:val="none" w:sz="0" w:space="0" w:color="auto"/>
        <w:left w:val="none" w:sz="0" w:space="0" w:color="auto"/>
        <w:bottom w:val="none" w:sz="0" w:space="0" w:color="auto"/>
        <w:right w:val="none" w:sz="0" w:space="0" w:color="auto"/>
      </w:divBdr>
    </w:div>
    <w:div w:id="1041243095">
      <w:bodyDiv w:val="1"/>
      <w:marLeft w:val="0"/>
      <w:marRight w:val="0"/>
      <w:marTop w:val="0"/>
      <w:marBottom w:val="0"/>
      <w:divBdr>
        <w:top w:val="none" w:sz="0" w:space="0" w:color="auto"/>
        <w:left w:val="none" w:sz="0" w:space="0" w:color="auto"/>
        <w:bottom w:val="none" w:sz="0" w:space="0" w:color="auto"/>
        <w:right w:val="none" w:sz="0" w:space="0" w:color="auto"/>
      </w:divBdr>
    </w:div>
    <w:div w:id="1062407872">
      <w:bodyDiv w:val="1"/>
      <w:marLeft w:val="0"/>
      <w:marRight w:val="0"/>
      <w:marTop w:val="0"/>
      <w:marBottom w:val="0"/>
      <w:divBdr>
        <w:top w:val="none" w:sz="0" w:space="0" w:color="auto"/>
        <w:left w:val="none" w:sz="0" w:space="0" w:color="auto"/>
        <w:bottom w:val="none" w:sz="0" w:space="0" w:color="auto"/>
        <w:right w:val="none" w:sz="0" w:space="0" w:color="auto"/>
      </w:divBdr>
    </w:div>
    <w:div w:id="1106733354">
      <w:bodyDiv w:val="1"/>
      <w:marLeft w:val="0"/>
      <w:marRight w:val="0"/>
      <w:marTop w:val="0"/>
      <w:marBottom w:val="0"/>
      <w:divBdr>
        <w:top w:val="none" w:sz="0" w:space="0" w:color="auto"/>
        <w:left w:val="none" w:sz="0" w:space="0" w:color="auto"/>
        <w:bottom w:val="none" w:sz="0" w:space="0" w:color="auto"/>
        <w:right w:val="none" w:sz="0" w:space="0" w:color="auto"/>
      </w:divBdr>
    </w:div>
    <w:div w:id="1149327127">
      <w:bodyDiv w:val="1"/>
      <w:marLeft w:val="0"/>
      <w:marRight w:val="0"/>
      <w:marTop w:val="0"/>
      <w:marBottom w:val="0"/>
      <w:divBdr>
        <w:top w:val="none" w:sz="0" w:space="0" w:color="auto"/>
        <w:left w:val="none" w:sz="0" w:space="0" w:color="auto"/>
        <w:bottom w:val="none" w:sz="0" w:space="0" w:color="auto"/>
        <w:right w:val="none" w:sz="0" w:space="0" w:color="auto"/>
      </w:divBdr>
      <w:divsChild>
        <w:div w:id="113672047">
          <w:marLeft w:val="1987"/>
          <w:marRight w:val="0"/>
          <w:marTop w:val="100"/>
          <w:marBottom w:val="0"/>
          <w:divBdr>
            <w:top w:val="none" w:sz="0" w:space="0" w:color="auto"/>
            <w:left w:val="none" w:sz="0" w:space="0" w:color="auto"/>
            <w:bottom w:val="none" w:sz="0" w:space="0" w:color="auto"/>
            <w:right w:val="none" w:sz="0" w:space="0" w:color="auto"/>
          </w:divBdr>
        </w:div>
        <w:div w:id="523055043">
          <w:marLeft w:val="1987"/>
          <w:marRight w:val="0"/>
          <w:marTop w:val="100"/>
          <w:marBottom w:val="0"/>
          <w:divBdr>
            <w:top w:val="none" w:sz="0" w:space="0" w:color="auto"/>
            <w:left w:val="none" w:sz="0" w:space="0" w:color="auto"/>
            <w:bottom w:val="none" w:sz="0" w:space="0" w:color="auto"/>
            <w:right w:val="none" w:sz="0" w:space="0" w:color="auto"/>
          </w:divBdr>
        </w:div>
        <w:div w:id="574626895">
          <w:marLeft w:val="1987"/>
          <w:marRight w:val="0"/>
          <w:marTop w:val="100"/>
          <w:marBottom w:val="0"/>
          <w:divBdr>
            <w:top w:val="none" w:sz="0" w:space="0" w:color="auto"/>
            <w:left w:val="none" w:sz="0" w:space="0" w:color="auto"/>
            <w:bottom w:val="none" w:sz="0" w:space="0" w:color="auto"/>
            <w:right w:val="none" w:sz="0" w:space="0" w:color="auto"/>
          </w:divBdr>
        </w:div>
        <w:div w:id="2146461825">
          <w:marLeft w:val="1987"/>
          <w:marRight w:val="0"/>
          <w:marTop w:val="100"/>
          <w:marBottom w:val="0"/>
          <w:divBdr>
            <w:top w:val="none" w:sz="0" w:space="0" w:color="auto"/>
            <w:left w:val="none" w:sz="0" w:space="0" w:color="auto"/>
            <w:bottom w:val="none" w:sz="0" w:space="0" w:color="auto"/>
            <w:right w:val="none" w:sz="0" w:space="0" w:color="auto"/>
          </w:divBdr>
        </w:div>
      </w:divsChild>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332684530">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02042251">
      <w:bodyDiv w:val="1"/>
      <w:marLeft w:val="0"/>
      <w:marRight w:val="0"/>
      <w:marTop w:val="0"/>
      <w:marBottom w:val="0"/>
      <w:divBdr>
        <w:top w:val="none" w:sz="0" w:space="0" w:color="auto"/>
        <w:left w:val="none" w:sz="0" w:space="0" w:color="auto"/>
        <w:bottom w:val="none" w:sz="0" w:space="0" w:color="auto"/>
        <w:right w:val="none" w:sz="0" w:space="0" w:color="auto"/>
      </w:divBdr>
      <w:divsChild>
        <w:div w:id="726339450">
          <w:marLeft w:val="360"/>
          <w:marRight w:val="0"/>
          <w:marTop w:val="200"/>
          <w:marBottom w:val="0"/>
          <w:divBdr>
            <w:top w:val="none" w:sz="0" w:space="0" w:color="auto"/>
            <w:left w:val="none" w:sz="0" w:space="0" w:color="auto"/>
            <w:bottom w:val="none" w:sz="0" w:space="0" w:color="auto"/>
            <w:right w:val="none" w:sz="0" w:space="0" w:color="auto"/>
          </w:divBdr>
        </w:div>
      </w:divsChild>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73152021">
      <w:bodyDiv w:val="1"/>
      <w:marLeft w:val="0"/>
      <w:marRight w:val="0"/>
      <w:marTop w:val="0"/>
      <w:marBottom w:val="0"/>
      <w:divBdr>
        <w:top w:val="none" w:sz="0" w:space="0" w:color="auto"/>
        <w:left w:val="none" w:sz="0" w:space="0" w:color="auto"/>
        <w:bottom w:val="none" w:sz="0" w:space="0" w:color="auto"/>
        <w:right w:val="none" w:sz="0" w:space="0" w:color="auto"/>
      </w:divBdr>
    </w:div>
    <w:div w:id="1644044019">
      <w:bodyDiv w:val="1"/>
      <w:marLeft w:val="0"/>
      <w:marRight w:val="0"/>
      <w:marTop w:val="0"/>
      <w:marBottom w:val="0"/>
      <w:divBdr>
        <w:top w:val="none" w:sz="0" w:space="0" w:color="auto"/>
        <w:left w:val="none" w:sz="0" w:space="0" w:color="auto"/>
        <w:bottom w:val="none" w:sz="0" w:space="0" w:color="auto"/>
        <w:right w:val="none" w:sz="0" w:space="0" w:color="auto"/>
      </w:divBdr>
    </w:div>
    <w:div w:id="1690981136">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116992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23104103">
      <w:bodyDiv w:val="1"/>
      <w:marLeft w:val="0"/>
      <w:marRight w:val="0"/>
      <w:marTop w:val="0"/>
      <w:marBottom w:val="0"/>
      <w:divBdr>
        <w:top w:val="none" w:sz="0" w:space="0" w:color="auto"/>
        <w:left w:val="none" w:sz="0" w:space="0" w:color="auto"/>
        <w:bottom w:val="none" w:sz="0" w:space="0" w:color="auto"/>
        <w:right w:val="none" w:sz="0" w:space="0" w:color="auto"/>
      </w:divBdr>
    </w:div>
    <w:div w:id="1986624157">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document/346656/download"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so.energy/document/346666/downloa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x.connectionsreform@nationalenergyso.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document/346661/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ESO_Office_Theme_PPT">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NESO_Office_Theme_PPT" id="{1BE572A3-3079-4C34-9F9E-38632D18EA54}" vid="{A5F4C047-3F68-4E86-A5FC-339EFF72BD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8e93b-1d5d-400d-8143-368295138bb7" xsi:nil="true"/>
    <SharedWithUsers xmlns="4138e93b-1d5d-400d-8143-368295138bb7">
      <UserInfo>
        <DisplayName/>
        <AccountId xsi:nil="true"/>
        <AccountType/>
      </UserInfo>
    </SharedWithUsers>
    <lcf76f155ced4ddcb4097134ff3c332f xmlns="c0690e1e-4096-4c8b-89e4-4b6caf6505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36054E89C694541A07085807D803CE5" ma:contentTypeVersion="14" ma:contentTypeDescription="Create a new document." ma:contentTypeScope="" ma:versionID="12fdc286e9b4574ac2e830a8bd594715">
  <xsd:schema xmlns:xsd="http://www.w3.org/2001/XMLSchema" xmlns:xs="http://www.w3.org/2001/XMLSchema" xmlns:p="http://schemas.microsoft.com/office/2006/metadata/properties" xmlns:ns2="c0690e1e-4096-4c8b-89e4-4b6caf6505c5" xmlns:ns3="4138e93b-1d5d-400d-8143-368295138bb7" targetNamespace="http://schemas.microsoft.com/office/2006/metadata/properties" ma:root="true" ma:fieldsID="4cbe7b3e45f5a8ac597d0b06a4bce422" ns2:_="" ns3:_="">
    <xsd:import namespace="c0690e1e-4096-4c8b-89e4-4b6caf6505c5"/>
    <xsd:import namespace="4138e93b-1d5d-400d-8143-368295138b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90e1e-4096-4c8b-89e4-4b6caf650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8e93b-1d5d-400d-8143-368295138bb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69efd21-27ae-46f4-a848-2f2ae1677ade}" ma:internalName="TaxCatchAll" ma:showField="CatchAllData" ma:web="4138e93b-1d5d-400d-8143-368295138b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2c24aed8-7e50-412a-88ed-9c70d948256c"/>
    <ds:schemaRef ds:uri="4f165af4-2b8d-43d3-a1c1-ca40126c3dc2"/>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A83E8E06-3E0A-46F9-AAF4-065E6F1644DA}"/>
</file>

<file path=docProps/app.xml><?xml version="1.0" encoding="utf-8"?>
<Properties xmlns="http://schemas.openxmlformats.org/officeDocument/2006/extended-properties" xmlns:vt="http://schemas.openxmlformats.org/officeDocument/2006/docPropsVTypes">
  <Template>Normal</Template>
  <TotalTime>0</TotalTime>
  <Pages>11</Pages>
  <Words>4430</Words>
  <Characters>25257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29628</CharactersWithSpaces>
  <SharedDoc>false</SharedDoc>
  <HLinks>
    <vt:vector size="24" baseType="variant">
      <vt:variant>
        <vt:i4>1507344</vt:i4>
      </vt:variant>
      <vt:variant>
        <vt:i4>9</vt:i4>
      </vt:variant>
      <vt:variant>
        <vt:i4>0</vt:i4>
      </vt:variant>
      <vt:variant>
        <vt:i4>5</vt:i4>
      </vt:variant>
      <vt:variant>
        <vt:lpwstr>https://www.neso.energy/document/346661/download</vt:lpwstr>
      </vt:variant>
      <vt:variant>
        <vt:lpwstr/>
      </vt:variant>
      <vt:variant>
        <vt:i4>1310743</vt:i4>
      </vt:variant>
      <vt:variant>
        <vt:i4>6</vt:i4>
      </vt:variant>
      <vt:variant>
        <vt:i4>0</vt:i4>
      </vt:variant>
      <vt:variant>
        <vt:i4>5</vt:i4>
      </vt:variant>
      <vt:variant>
        <vt:lpwstr>https://www.neso.energy/document/346656/download</vt:lpwstr>
      </vt:variant>
      <vt:variant>
        <vt:lpwstr/>
      </vt:variant>
      <vt:variant>
        <vt:i4>1507351</vt:i4>
      </vt:variant>
      <vt:variant>
        <vt:i4>3</vt:i4>
      </vt:variant>
      <vt:variant>
        <vt:i4>0</vt:i4>
      </vt:variant>
      <vt:variant>
        <vt:i4>5</vt:i4>
      </vt:variant>
      <vt:variant>
        <vt:lpwstr>https://www.neso.energy/document/346666/download</vt:lpwstr>
      </vt:variant>
      <vt:variant>
        <vt:lpwstr/>
      </vt:variant>
      <vt:variant>
        <vt:i4>6160427</vt:i4>
      </vt:variant>
      <vt:variant>
        <vt:i4>0</vt:i4>
      </vt:variant>
      <vt:variant>
        <vt:i4>0</vt:i4>
      </vt:variant>
      <vt:variant>
        <vt:i4>5</vt:i4>
      </vt:variant>
      <vt:variant>
        <vt:lpwstr>mailto:box.connectionsreform@nationalenergyso.com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Brooks (ESO)</dc:creator>
  <cp:keywords/>
  <dc:description/>
  <cp:lastModifiedBy>Jacq Arand (NESO)</cp:lastModifiedBy>
  <cp:revision>2</cp:revision>
  <cp:lastPrinted>2020-06-01T22:47:00Z</cp:lastPrinted>
  <dcterms:created xsi:type="dcterms:W3CDTF">2024-12-02T13:46:00Z</dcterms:created>
  <dcterms:modified xsi:type="dcterms:W3CDTF">2024-12-02T13:46:00Z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0x010100D36054E89C694541A07085807D803CE5</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